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43" w:rsidRDefault="00132643" w:rsidP="00132643">
      <w:pPr>
        <w:rPr>
          <w:lang w:val="en-IE"/>
        </w:rPr>
      </w:pPr>
      <w:r>
        <w:rPr>
          <w:b/>
          <w:bCs/>
          <w:color w:val="1F497D"/>
          <w:sz w:val="36"/>
          <w:szCs w:val="36"/>
          <w:lang w:val="en-IE"/>
        </w:rPr>
        <w:t>Research Leaders 2025</w:t>
      </w:r>
    </w:p>
    <w:p w:rsidR="00132643" w:rsidRDefault="00132643" w:rsidP="00132643">
      <w:pPr>
        <w:rPr>
          <w:lang w:val="en-IE"/>
        </w:rPr>
      </w:pP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is pleased to launch Research Leaders 2025, an innovative fellowship scheme focused on </w:t>
      </w:r>
      <w:r>
        <w:rPr>
          <w:b/>
          <w:bCs/>
          <w:lang w:val="en-IE"/>
        </w:rPr>
        <w:t xml:space="preserve">developing the next generation of research leaders in the </w:t>
      </w:r>
      <w:proofErr w:type="spellStart"/>
      <w:r>
        <w:rPr>
          <w:b/>
          <w:bCs/>
          <w:lang w:val="en-IE"/>
        </w:rPr>
        <w:t>agri</w:t>
      </w:r>
      <w:proofErr w:type="spellEnd"/>
      <w:r>
        <w:rPr>
          <w:b/>
          <w:bCs/>
          <w:lang w:val="en-IE"/>
        </w:rPr>
        <w:t>-food domain</w:t>
      </w:r>
      <w:r>
        <w:rPr>
          <w:lang w:val="en-IE"/>
        </w:rPr>
        <w:t xml:space="preserve">. 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 xml:space="preserve">We seek applications from experienced </w:t>
      </w:r>
      <w:r>
        <w:rPr>
          <w:b/>
          <w:bCs/>
          <w:lang w:val="en-IE"/>
        </w:rPr>
        <w:t>researchers</w:t>
      </w:r>
      <w:r>
        <w:rPr>
          <w:lang w:val="en-IE"/>
        </w:rPr>
        <w:t xml:space="preserve"> (with PhD or four years full time research experience) in combination with </w:t>
      </w:r>
      <w:r>
        <w:rPr>
          <w:b/>
          <w:bCs/>
          <w:lang w:val="en-IE"/>
        </w:rPr>
        <w:t>host organisations worldwide</w:t>
      </w:r>
      <w:r>
        <w:rPr>
          <w:lang w:val="en-IE"/>
        </w:rPr>
        <w:t xml:space="preserve"> (research, industry or civil society organisations/NGOs).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Join us for a live-streamed</w:t>
      </w:r>
      <w:proofErr w:type="gramStart"/>
      <w:r>
        <w:rPr>
          <w:lang w:val="en-IE"/>
        </w:rPr>
        <w:t>  webinar</w:t>
      </w:r>
      <w:proofErr w:type="gramEnd"/>
      <w:r>
        <w:rPr>
          <w:lang w:val="en-IE"/>
        </w:rPr>
        <w:t xml:space="preserve"> on YouTube on Wednesday 25</w:t>
      </w:r>
      <w:r>
        <w:rPr>
          <w:vertAlign w:val="superscript"/>
          <w:lang w:val="en-IE"/>
        </w:rPr>
        <w:t>th</w:t>
      </w:r>
      <w:r>
        <w:rPr>
          <w:lang w:val="en-IE"/>
        </w:rPr>
        <w:t xml:space="preserve"> July at 2 pm Dublin Local Time.  Further details at </w:t>
      </w:r>
      <w:hyperlink r:id="rId6" w:history="1">
        <w:r>
          <w:rPr>
            <w:rStyle w:val="Hypertextovodkaz"/>
            <w:lang w:val="en-IE"/>
          </w:rPr>
          <w:t>www.teagasc.ie/rl2025</w:t>
        </w:r>
      </w:hyperlink>
      <w:r>
        <w:rPr>
          <w:color w:val="1F497D"/>
          <w:lang w:val="en-IE"/>
        </w:rPr>
        <w:t xml:space="preserve"> </w:t>
      </w:r>
    </w:p>
    <w:p w:rsidR="00132643" w:rsidRDefault="00132643" w:rsidP="00132643">
      <w:pPr>
        <w:rPr>
          <w:lang w:val="en-IE"/>
        </w:rPr>
      </w:pPr>
      <w:r>
        <w:rPr>
          <w:color w:val="1F497D"/>
          <w:lang w:val="en-IE"/>
        </w:rPr>
        <w:t> 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Features: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Fellowships will have </w:t>
      </w:r>
      <w:proofErr w:type="gramStart"/>
      <w:r>
        <w:rPr>
          <w:lang w:val="en-IE"/>
        </w:rPr>
        <w:t xml:space="preserve">a </w:t>
      </w:r>
      <w:r>
        <w:rPr>
          <w:b/>
          <w:bCs/>
          <w:lang w:val="en-IE"/>
        </w:rPr>
        <w:t>duration</w:t>
      </w:r>
      <w:proofErr w:type="gramEnd"/>
      <w:r>
        <w:rPr>
          <w:b/>
          <w:bCs/>
          <w:lang w:val="en-IE"/>
        </w:rPr>
        <w:t xml:space="preserve"> of 36 months</w:t>
      </w:r>
      <w:r>
        <w:rPr>
          <w:lang w:val="en-IE"/>
        </w:rPr>
        <w:t xml:space="preserve">, including </w:t>
      </w:r>
      <w:r>
        <w:rPr>
          <w:b/>
          <w:bCs/>
          <w:lang w:val="en-IE"/>
        </w:rPr>
        <w:t>18 months outside of Ireland</w:t>
      </w:r>
      <w:r>
        <w:rPr>
          <w:lang w:val="en-IE"/>
        </w:rPr>
        <w:t xml:space="preserve">, followed by a </w:t>
      </w:r>
      <w:r>
        <w:rPr>
          <w:b/>
          <w:bCs/>
          <w:lang w:val="en-IE"/>
        </w:rPr>
        <w:t xml:space="preserve">“return phase” to </w:t>
      </w:r>
      <w:proofErr w:type="spellStart"/>
      <w:r>
        <w:rPr>
          <w:b/>
          <w:bCs/>
          <w:lang w:val="en-IE"/>
        </w:rPr>
        <w:t>Teagasc</w:t>
      </w:r>
      <w:proofErr w:type="spellEnd"/>
      <w:r>
        <w:rPr>
          <w:lang w:val="en-IE"/>
        </w:rPr>
        <w:t xml:space="preserve"> in Ireland for a further 18 months.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The fellowships will be </w:t>
      </w:r>
      <w:r>
        <w:rPr>
          <w:b/>
          <w:bCs/>
          <w:lang w:val="en-IE"/>
        </w:rPr>
        <w:t>researcher-led</w:t>
      </w:r>
      <w:r>
        <w:rPr>
          <w:lang w:val="en-IE"/>
        </w:rPr>
        <w:t xml:space="preserve">, so the applicant will be free to choose the research topic, the outgoing host organisation and the supervisor in </w:t>
      </w: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for the return phase.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There will be a strong focus on career development, with dedicated </w:t>
      </w:r>
      <w:r>
        <w:rPr>
          <w:b/>
          <w:bCs/>
          <w:lang w:val="en-IE"/>
        </w:rPr>
        <w:t>career mentors</w:t>
      </w:r>
      <w:r>
        <w:rPr>
          <w:lang w:val="en-IE"/>
        </w:rPr>
        <w:t xml:space="preserve"> for each fellow; a </w:t>
      </w:r>
      <w:r>
        <w:rPr>
          <w:b/>
          <w:bCs/>
          <w:lang w:val="en-IE"/>
        </w:rPr>
        <w:t>management training course</w:t>
      </w:r>
      <w:r>
        <w:rPr>
          <w:lang w:val="en-IE"/>
        </w:rPr>
        <w:t xml:space="preserve">; annual retreats with </w:t>
      </w:r>
      <w:r>
        <w:rPr>
          <w:b/>
          <w:bCs/>
          <w:lang w:val="en-IE"/>
        </w:rPr>
        <w:t>career presentations</w:t>
      </w:r>
      <w:r>
        <w:rPr>
          <w:lang w:val="en-IE"/>
        </w:rPr>
        <w:t xml:space="preserve"> from leaders in academia, industry and civil society organisations; and </w:t>
      </w:r>
      <w:r>
        <w:rPr>
          <w:b/>
          <w:bCs/>
          <w:lang w:val="en-IE"/>
        </w:rPr>
        <w:t>transferable skills training</w:t>
      </w:r>
      <w:r>
        <w:rPr>
          <w:lang w:val="en-IE"/>
        </w:rPr>
        <w:t>.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There will also be the option to undertake a </w:t>
      </w:r>
      <w:r>
        <w:rPr>
          <w:b/>
          <w:bCs/>
          <w:lang w:val="en-IE"/>
        </w:rPr>
        <w:t>secondment to the non-academic sector</w:t>
      </w:r>
      <w:r>
        <w:rPr>
          <w:lang w:val="en-IE"/>
        </w:rPr>
        <w:t xml:space="preserve"> (e.g., industry or civil society organisations/NGOs).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There will be a gross annual salary of </w:t>
      </w:r>
      <w:r>
        <w:rPr>
          <w:b/>
          <w:bCs/>
          <w:lang w:val="en-IE"/>
        </w:rPr>
        <w:t>€51,717</w:t>
      </w:r>
      <w:r>
        <w:rPr>
          <w:lang w:val="en-IE"/>
        </w:rPr>
        <w:t xml:space="preserve"> (in absence of family allowance) or </w:t>
      </w:r>
      <w:r>
        <w:rPr>
          <w:b/>
          <w:bCs/>
          <w:lang w:val="en-IE"/>
        </w:rPr>
        <w:t>€56,306</w:t>
      </w:r>
      <w:r>
        <w:rPr>
          <w:lang w:val="en-IE"/>
        </w:rPr>
        <w:t xml:space="preserve"> (if family allowance is paid).  Research expenses will also be available.</w:t>
      </w:r>
    </w:p>
    <w:p w:rsidR="00132643" w:rsidRDefault="00132643" w:rsidP="00132643">
      <w:pPr>
        <w:pStyle w:val="Odstavecseseznamem"/>
        <w:numPr>
          <w:ilvl w:val="0"/>
          <w:numId w:val="1"/>
        </w:numPr>
        <w:rPr>
          <w:lang w:val="en-IE"/>
        </w:rPr>
      </w:pPr>
      <w:r>
        <w:rPr>
          <w:lang w:val="en-IE"/>
        </w:rPr>
        <w:t xml:space="preserve">The programme aims to address the ‘leaky pipeline’ whereby the higher </w:t>
      </w:r>
      <w:proofErr w:type="gramStart"/>
      <w:r>
        <w:rPr>
          <w:lang w:val="en-IE"/>
        </w:rPr>
        <w:t>levels of research shows</w:t>
      </w:r>
      <w:proofErr w:type="gramEnd"/>
      <w:r>
        <w:rPr>
          <w:lang w:val="en-IE"/>
        </w:rPr>
        <w:t xml:space="preserve"> a gender imbalance.  Review cohorts will be </w:t>
      </w:r>
      <w:r>
        <w:rPr>
          <w:b/>
          <w:bCs/>
          <w:lang w:val="en-IE"/>
        </w:rPr>
        <w:t>gender balanced</w:t>
      </w:r>
      <w:r>
        <w:rPr>
          <w:lang w:val="en-IE"/>
        </w:rPr>
        <w:t xml:space="preserve">, applicants that have taken a career break will not be disadvantaged, female fellows will be facilitated in finding female career mentors and </w:t>
      </w:r>
      <w:r>
        <w:rPr>
          <w:b/>
          <w:bCs/>
          <w:lang w:val="en-IE"/>
        </w:rPr>
        <w:t>paid maternity leave</w:t>
      </w:r>
      <w:r>
        <w:rPr>
          <w:lang w:val="en-IE"/>
        </w:rPr>
        <w:t xml:space="preserve"> (with extensions to the fellowships) will be available.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 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Important dates:</w:t>
      </w:r>
    </w:p>
    <w:p w:rsidR="00132643" w:rsidRDefault="00132643" w:rsidP="00132643">
      <w:pPr>
        <w:pStyle w:val="Odstavecseseznamem"/>
        <w:numPr>
          <w:ilvl w:val="0"/>
          <w:numId w:val="2"/>
        </w:numPr>
        <w:rPr>
          <w:lang w:val="en-IE"/>
        </w:rPr>
      </w:pPr>
      <w:r>
        <w:rPr>
          <w:lang w:val="en-GB"/>
        </w:rPr>
        <w:t>Deadline for receipt of</w:t>
      </w:r>
      <w:r>
        <w:rPr>
          <w:rStyle w:val="Siln"/>
          <w:lang w:val="en-GB"/>
        </w:rPr>
        <w:t xml:space="preserve"> Expression of interest</w:t>
      </w:r>
      <w:r>
        <w:rPr>
          <w:lang w:val="en-GB"/>
        </w:rPr>
        <w:t>: 1st October 2018, 13:00 Dublin Local Time</w:t>
      </w:r>
    </w:p>
    <w:p w:rsidR="00132643" w:rsidRDefault="00132643" w:rsidP="00132643">
      <w:pPr>
        <w:pStyle w:val="Odstavecseseznamem"/>
        <w:numPr>
          <w:ilvl w:val="0"/>
          <w:numId w:val="2"/>
        </w:numPr>
        <w:rPr>
          <w:lang w:val="en-IE"/>
        </w:rPr>
      </w:pPr>
      <w:r>
        <w:rPr>
          <w:lang w:val="en-GB"/>
        </w:rPr>
        <w:t xml:space="preserve">Deadline for receipt of </w:t>
      </w:r>
      <w:r>
        <w:rPr>
          <w:rStyle w:val="Siln"/>
          <w:lang w:val="en-GB"/>
        </w:rPr>
        <w:t>Full Application</w:t>
      </w:r>
      <w:r>
        <w:rPr>
          <w:lang w:val="en-GB"/>
        </w:rPr>
        <w:t>: 20th November 2018, 13:00 Dublin Local Time</w:t>
      </w:r>
    </w:p>
    <w:p w:rsidR="00132643" w:rsidRDefault="00132643" w:rsidP="00132643">
      <w:pPr>
        <w:pStyle w:val="Odstavecseseznamem"/>
        <w:numPr>
          <w:ilvl w:val="0"/>
          <w:numId w:val="2"/>
        </w:numPr>
        <w:rPr>
          <w:lang w:val="en-IE"/>
        </w:rPr>
      </w:pPr>
      <w:r>
        <w:rPr>
          <w:rStyle w:val="Siln"/>
          <w:lang w:val="en-GB"/>
        </w:rPr>
        <w:t>Information webinar</w:t>
      </w:r>
      <w:r>
        <w:rPr>
          <w:lang w:val="en-GB"/>
        </w:rPr>
        <w:t>: Wednesday, 25th July 2018, 2 pm Dublin Local Time</w:t>
      </w:r>
    </w:p>
    <w:p w:rsidR="00132643" w:rsidRDefault="00132643" w:rsidP="00132643">
      <w:pPr>
        <w:rPr>
          <w:lang w:val="en-IE"/>
        </w:rPr>
      </w:pPr>
      <w:r>
        <w:rPr>
          <w:lang w:val="en-GB"/>
        </w:rPr>
        <w:t> </w:t>
      </w:r>
    </w:p>
    <w:p w:rsidR="00132643" w:rsidRDefault="00132643" w:rsidP="00132643">
      <w:pPr>
        <w:rPr>
          <w:lang w:val="en-IE"/>
        </w:rPr>
      </w:pPr>
      <w:r>
        <w:rPr>
          <w:lang w:val="en-GB"/>
        </w:rPr>
        <w:t xml:space="preserve">Eligibility conditions apply.  See </w:t>
      </w:r>
      <w:hyperlink r:id="rId7" w:history="1">
        <w:r>
          <w:rPr>
            <w:rStyle w:val="Hypertextovodkaz"/>
            <w:lang w:val="en-GB"/>
          </w:rPr>
          <w:t>www.teagasc.ie/rl2025</w:t>
        </w:r>
      </w:hyperlink>
      <w:r>
        <w:rPr>
          <w:lang w:val="en-GB"/>
        </w:rPr>
        <w:t xml:space="preserve"> for details.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 </w:t>
      </w:r>
    </w:p>
    <w:p w:rsidR="00132643" w:rsidRDefault="00132643" w:rsidP="00132643">
      <w:pPr>
        <w:rPr>
          <w:lang w:val="en-IE"/>
        </w:rPr>
      </w:pP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is the Irish Agriculture and Food Development Authority. The </w:t>
      </w: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annual research portfolio comprises some 300 research projects, carried out by 500 scientific and technical staff in seven research centres throughout Ireland.  Research is organised into four programme areas: 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•             Animal and Grassland Research and Innovation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•             Crops, Environment and Land Use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•             Food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 xml:space="preserve">•             Rural Economy and Development.  </w:t>
      </w:r>
    </w:p>
    <w:p w:rsidR="00132643" w:rsidRDefault="00132643" w:rsidP="00132643">
      <w:pPr>
        <w:rPr>
          <w:lang w:val="en-IE"/>
        </w:rPr>
      </w:pP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researchers produced 2305 peer-reviewed publications between 2013 and 2017, ranking amongst the top European institutions in terms of number of publications and citations in the areas of food and agriculture.  </w:t>
      </w:r>
      <w:proofErr w:type="spellStart"/>
      <w:r>
        <w:rPr>
          <w:lang w:val="en-IE"/>
        </w:rPr>
        <w:t>Teagasc</w:t>
      </w:r>
      <w:proofErr w:type="spellEnd"/>
      <w:r>
        <w:rPr>
          <w:lang w:val="en-IE"/>
        </w:rPr>
        <w:t xml:space="preserve"> researchers enjoy access to state-of-the art laboratories, over 2300 hectares of experimental farm land and two food pilot plant facilities.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> </w:t>
      </w:r>
    </w:p>
    <w:p w:rsidR="00132643" w:rsidRDefault="00132643" w:rsidP="00132643">
      <w:pPr>
        <w:rPr>
          <w:lang w:val="en-IE"/>
        </w:rPr>
      </w:pPr>
      <w:r>
        <w:rPr>
          <w:lang w:val="en-IE"/>
        </w:rPr>
        <w:t xml:space="preserve">See </w:t>
      </w:r>
      <w:hyperlink r:id="rId8" w:history="1">
        <w:r>
          <w:rPr>
            <w:rStyle w:val="Hypertextovodkaz"/>
            <w:lang w:val="en-IE"/>
          </w:rPr>
          <w:t>https://www.teagasc.ie/</w:t>
        </w:r>
      </w:hyperlink>
      <w:r>
        <w:rPr>
          <w:lang w:val="en-IE"/>
        </w:rPr>
        <w:t xml:space="preserve"> for details.</w:t>
      </w:r>
    </w:p>
    <w:p w:rsidR="005E6F3A" w:rsidRDefault="005E6F3A">
      <w:bookmarkStart w:id="0" w:name="_GoBack"/>
      <w:bookmarkEnd w:id="0"/>
    </w:p>
    <w:sectPr w:rsidR="005E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915"/>
    <w:multiLevelType w:val="hybridMultilevel"/>
    <w:tmpl w:val="4C7CBD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522D9"/>
    <w:multiLevelType w:val="hybridMultilevel"/>
    <w:tmpl w:val="10666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3"/>
    <w:rsid w:val="00132643"/>
    <w:rsid w:val="005E6F3A"/>
    <w:rsid w:val="008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6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26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643"/>
    <w:pPr>
      <w:ind w:left="720"/>
    </w:pPr>
  </w:style>
  <w:style w:type="character" w:styleId="Siln">
    <w:name w:val="Strong"/>
    <w:basedOn w:val="Standardnpsmoodstavce"/>
    <w:uiPriority w:val="22"/>
    <w:qFormat/>
    <w:rsid w:val="00132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6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264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643"/>
    <w:pPr>
      <w:ind w:left="720"/>
    </w:pPr>
  </w:style>
  <w:style w:type="character" w:styleId="Siln">
    <w:name w:val="Strong"/>
    <w:basedOn w:val="Standardnpsmoodstavce"/>
    <w:uiPriority w:val="22"/>
    <w:qFormat/>
    <w:rsid w:val="0013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gasc.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agasc.ie/rl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gasc.ie/rl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Konickova Nada TC</dc:creator>
  <cp:lastModifiedBy>Konickova Nada TC</cp:lastModifiedBy>
  <cp:revision>1</cp:revision>
  <dcterms:created xsi:type="dcterms:W3CDTF">2018-07-16T09:23:00Z</dcterms:created>
  <dcterms:modified xsi:type="dcterms:W3CDTF">2018-07-16T09:34:00Z</dcterms:modified>
</cp:coreProperties>
</file>