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1E55" w14:textId="77777777" w:rsidR="00A745BF" w:rsidRPr="00386690" w:rsidRDefault="00A745BF">
      <w:pPr>
        <w:rPr>
          <w:rFonts w:ascii="Times New Roman" w:hAnsi="Times New Roman" w:cs="Times New Roman"/>
          <w:sz w:val="28"/>
          <w:szCs w:val="28"/>
        </w:rPr>
      </w:pPr>
    </w:p>
    <w:p w14:paraId="76586DCE" w14:textId="77777777" w:rsidR="00386690" w:rsidRPr="00C603A7" w:rsidRDefault="00386690" w:rsidP="00386690">
      <w:pPr>
        <w:jc w:val="center"/>
        <w:rPr>
          <w:rFonts w:ascii="Times New Roman" w:hAnsi="Times New Roman" w:cs="Times New Roman"/>
          <w:sz w:val="40"/>
          <w:szCs w:val="40"/>
          <w:lang w:val="en-GB"/>
        </w:rPr>
      </w:pPr>
    </w:p>
    <w:p w14:paraId="4AF475FB" w14:textId="668F012D" w:rsidR="00386690" w:rsidRPr="00C603A7" w:rsidRDefault="00386690" w:rsidP="00386690">
      <w:pPr>
        <w:jc w:val="center"/>
        <w:rPr>
          <w:rFonts w:ascii="Times New Roman" w:hAnsi="Times New Roman" w:cs="Times New Roman"/>
          <w:b/>
          <w:bCs/>
          <w:sz w:val="40"/>
          <w:szCs w:val="40"/>
          <w:lang w:val="en-GB"/>
        </w:rPr>
      </w:pPr>
      <w:r w:rsidRPr="00C603A7">
        <w:rPr>
          <w:rFonts w:ascii="Times New Roman" w:hAnsi="Times New Roman" w:cs="Times New Roman"/>
          <w:b/>
          <w:bCs/>
          <w:sz w:val="40"/>
          <w:szCs w:val="40"/>
          <w:lang w:val="en-GB"/>
        </w:rPr>
        <w:t>Conference Proceedings</w:t>
      </w:r>
    </w:p>
    <w:p w14:paraId="172CF7D0" w14:textId="77777777" w:rsidR="00386690" w:rsidRPr="00C603A7" w:rsidRDefault="00386690" w:rsidP="00386690">
      <w:pPr>
        <w:jc w:val="center"/>
        <w:rPr>
          <w:rFonts w:ascii="Times New Roman" w:hAnsi="Times New Roman" w:cs="Times New Roman"/>
          <w:b/>
          <w:bCs/>
          <w:sz w:val="40"/>
          <w:szCs w:val="40"/>
          <w:lang w:val="en-GB"/>
        </w:rPr>
      </w:pPr>
    </w:p>
    <w:p w14:paraId="1F5EED76" w14:textId="100CF227" w:rsidR="00386690" w:rsidRPr="00C603A7" w:rsidRDefault="00386690" w:rsidP="00386690">
      <w:pPr>
        <w:jc w:val="center"/>
        <w:rPr>
          <w:rFonts w:ascii="Times New Roman" w:hAnsi="Times New Roman" w:cs="Times New Roman"/>
          <w:i/>
          <w:iCs/>
          <w:sz w:val="40"/>
          <w:szCs w:val="40"/>
          <w:lang w:val="en-GB"/>
        </w:rPr>
      </w:pPr>
      <w:r w:rsidRPr="00C603A7">
        <w:rPr>
          <w:rFonts w:ascii="Times New Roman" w:hAnsi="Times New Roman" w:cs="Times New Roman"/>
          <w:i/>
          <w:iCs/>
          <w:sz w:val="40"/>
          <w:szCs w:val="40"/>
          <w:lang w:val="en-GB"/>
        </w:rPr>
        <w:t>International Conference</w:t>
      </w:r>
    </w:p>
    <w:p w14:paraId="5BB269BB" w14:textId="77777777" w:rsidR="00386690" w:rsidRPr="00C603A7" w:rsidRDefault="00386690" w:rsidP="00386690">
      <w:pPr>
        <w:jc w:val="center"/>
        <w:rPr>
          <w:rFonts w:ascii="Times New Roman" w:hAnsi="Times New Roman" w:cs="Times New Roman"/>
          <w:i/>
          <w:iCs/>
          <w:sz w:val="40"/>
          <w:szCs w:val="40"/>
          <w:lang w:val="en-GB"/>
        </w:rPr>
      </w:pPr>
    </w:p>
    <w:p w14:paraId="17C88217" w14:textId="332B9F96" w:rsidR="00386690" w:rsidRPr="00C603A7" w:rsidRDefault="00386690" w:rsidP="00386690">
      <w:pPr>
        <w:jc w:val="center"/>
        <w:rPr>
          <w:rFonts w:ascii="Times New Roman" w:hAnsi="Times New Roman" w:cs="Times New Roman"/>
          <w:sz w:val="28"/>
          <w:szCs w:val="28"/>
          <w:lang w:val="en-GB"/>
        </w:rPr>
      </w:pPr>
      <w:r w:rsidRPr="00C603A7">
        <w:rPr>
          <w:rFonts w:ascii="Times New Roman" w:hAnsi="Times New Roman" w:cs="Times New Roman"/>
          <w:sz w:val="28"/>
          <w:szCs w:val="28"/>
          <w:lang w:val="en-GB"/>
        </w:rPr>
        <w:t>“Agriculture and Rural Development in Western Balkans”</w:t>
      </w:r>
    </w:p>
    <w:p w14:paraId="2B95F9BC" w14:textId="77777777" w:rsidR="00386690" w:rsidRPr="00C603A7" w:rsidRDefault="00386690" w:rsidP="00386690">
      <w:pPr>
        <w:jc w:val="center"/>
        <w:rPr>
          <w:rFonts w:ascii="Times New Roman" w:hAnsi="Times New Roman" w:cs="Times New Roman"/>
          <w:sz w:val="28"/>
          <w:szCs w:val="28"/>
          <w:lang w:val="en-GB"/>
        </w:rPr>
      </w:pPr>
    </w:p>
    <w:p w14:paraId="24133C39" w14:textId="77777777" w:rsidR="00386690" w:rsidRPr="00C603A7" w:rsidRDefault="00386690" w:rsidP="00386690">
      <w:pPr>
        <w:jc w:val="center"/>
        <w:rPr>
          <w:rFonts w:ascii="Times New Roman" w:hAnsi="Times New Roman" w:cs="Times New Roman"/>
          <w:sz w:val="28"/>
          <w:szCs w:val="28"/>
          <w:lang w:val="en-GB"/>
        </w:rPr>
      </w:pPr>
      <w:r w:rsidRPr="00C603A7">
        <w:rPr>
          <w:rFonts w:ascii="Times New Roman" w:hAnsi="Times New Roman" w:cs="Times New Roman"/>
          <w:sz w:val="28"/>
          <w:szCs w:val="28"/>
          <w:lang w:val="en-GB"/>
        </w:rPr>
        <w:t xml:space="preserve">Czech University of Life Sciences </w:t>
      </w:r>
    </w:p>
    <w:p w14:paraId="39796A41" w14:textId="5D370DA4" w:rsidR="00386690" w:rsidRPr="00C603A7" w:rsidRDefault="00386690" w:rsidP="00386690">
      <w:pPr>
        <w:jc w:val="center"/>
        <w:rPr>
          <w:rFonts w:ascii="Times New Roman" w:hAnsi="Times New Roman" w:cs="Times New Roman"/>
          <w:sz w:val="28"/>
          <w:szCs w:val="28"/>
          <w:lang w:val="en-GB"/>
        </w:rPr>
      </w:pPr>
      <w:r w:rsidRPr="00C603A7">
        <w:rPr>
          <w:rFonts w:ascii="Times New Roman" w:hAnsi="Times New Roman" w:cs="Times New Roman"/>
          <w:sz w:val="28"/>
          <w:szCs w:val="28"/>
          <w:lang w:val="en-GB"/>
        </w:rPr>
        <w:t>Prague, 12th October 2021</w:t>
      </w:r>
    </w:p>
    <w:p w14:paraId="5124DD8D" w14:textId="0E544B7C" w:rsidR="00386690" w:rsidRPr="00C603A7" w:rsidRDefault="00386690" w:rsidP="00386690">
      <w:pPr>
        <w:jc w:val="center"/>
        <w:rPr>
          <w:rFonts w:ascii="Times New Roman" w:hAnsi="Times New Roman" w:cs="Times New Roman"/>
          <w:sz w:val="28"/>
          <w:szCs w:val="28"/>
          <w:lang w:val="en-GB"/>
        </w:rPr>
      </w:pPr>
    </w:p>
    <w:p w14:paraId="52E07EAE" w14:textId="0968C09E" w:rsidR="00386690" w:rsidRPr="00C603A7" w:rsidRDefault="00386690" w:rsidP="00386690">
      <w:pPr>
        <w:jc w:val="center"/>
        <w:rPr>
          <w:rFonts w:ascii="Times New Roman" w:hAnsi="Times New Roman" w:cs="Times New Roman"/>
          <w:sz w:val="28"/>
          <w:szCs w:val="28"/>
          <w:lang w:val="en-GB"/>
        </w:rPr>
      </w:pPr>
    </w:p>
    <w:p w14:paraId="12B213FD" w14:textId="6FC6E911" w:rsidR="00386690" w:rsidRPr="00C603A7" w:rsidRDefault="00386690" w:rsidP="00386690">
      <w:pPr>
        <w:jc w:val="center"/>
        <w:rPr>
          <w:rFonts w:ascii="Times New Roman" w:hAnsi="Times New Roman" w:cs="Times New Roman"/>
          <w:sz w:val="28"/>
          <w:szCs w:val="28"/>
          <w:lang w:val="en-GB"/>
        </w:rPr>
      </w:pPr>
      <w:r w:rsidRPr="00C603A7">
        <w:rPr>
          <w:rFonts w:ascii="Times New Roman" w:hAnsi="Times New Roman" w:cs="Times New Roman"/>
          <w:sz w:val="28"/>
          <w:szCs w:val="28"/>
          <w:lang w:val="en-GB"/>
        </w:rPr>
        <w:t xml:space="preserve">Editor: Miroslava BAVOROVÁ </w:t>
      </w:r>
    </w:p>
    <w:p w14:paraId="3CE812CF" w14:textId="2E265CC0" w:rsidR="00386690" w:rsidRPr="00C603A7" w:rsidRDefault="00386690" w:rsidP="00386690">
      <w:pPr>
        <w:jc w:val="center"/>
        <w:rPr>
          <w:rFonts w:ascii="Times New Roman" w:hAnsi="Times New Roman" w:cs="Times New Roman"/>
          <w:sz w:val="36"/>
          <w:szCs w:val="36"/>
          <w:lang w:val="en-GB"/>
        </w:rPr>
      </w:pPr>
    </w:p>
    <w:p w14:paraId="2D57B78B" w14:textId="77777777" w:rsidR="00386690" w:rsidRPr="00C603A7" w:rsidRDefault="00386690" w:rsidP="00386690">
      <w:pPr>
        <w:pStyle w:val="Default"/>
        <w:rPr>
          <w:lang w:val="en-GB"/>
        </w:rPr>
      </w:pPr>
    </w:p>
    <w:p w14:paraId="10C10B84" w14:textId="19291D59" w:rsidR="00386690" w:rsidRPr="00C603A7" w:rsidRDefault="00386690" w:rsidP="00386690">
      <w:pPr>
        <w:jc w:val="center"/>
        <w:rPr>
          <w:rFonts w:ascii="Times New Roman" w:hAnsi="Times New Roman" w:cs="Times New Roman"/>
          <w:b/>
          <w:bCs/>
          <w:sz w:val="23"/>
          <w:szCs w:val="23"/>
          <w:lang w:val="en-GB"/>
        </w:rPr>
      </w:pPr>
      <w:r w:rsidRPr="00C603A7">
        <w:rPr>
          <w:rFonts w:ascii="Times New Roman" w:hAnsi="Times New Roman" w:cs="Times New Roman"/>
          <w:lang w:val="en-GB"/>
        </w:rPr>
        <w:t xml:space="preserve"> </w:t>
      </w:r>
      <w:r w:rsidRPr="00C603A7">
        <w:rPr>
          <w:rFonts w:ascii="Times New Roman" w:hAnsi="Times New Roman" w:cs="Times New Roman"/>
          <w:b/>
          <w:bCs/>
          <w:sz w:val="23"/>
          <w:szCs w:val="23"/>
          <w:lang w:val="en-GB"/>
        </w:rPr>
        <w:t>ISBN:</w:t>
      </w:r>
    </w:p>
    <w:p w14:paraId="360DD254" w14:textId="77777777" w:rsidR="00FC0D84" w:rsidRPr="00C603A7" w:rsidRDefault="00FC0D84" w:rsidP="00386690">
      <w:pPr>
        <w:jc w:val="center"/>
        <w:rPr>
          <w:rFonts w:ascii="Times New Roman" w:hAnsi="Times New Roman" w:cs="Times New Roman"/>
          <w:b/>
          <w:bCs/>
          <w:sz w:val="23"/>
          <w:szCs w:val="23"/>
          <w:lang w:val="en-GB"/>
        </w:rPr>
      </w:pPr>
    </w:p>
    <w:p w14:paraId="0B29FA43" w14:textId="77777777" w:rsidR="00FC0D84" w:rsidRPr="00C603A7" w:rsidRDefault="00FC0D84" w:rsidP="00386690">
      <w:pPr>
        <w:jc w:val="center"/>
        <w:rPr>
          <w:rFonts w:ascii="Times New Roman" w:hAnsi="Times New Roman" w:cs="Times New Roman"/>
          <w:b/>
          <w:bCs/>
          <w:sz w:val="23"/>
          <w:szCs w:val="23"/>
          <w:lang w:val="en-GB"/>
        </w:rPr>
      </w:pPr>
    </w:p>
    <w:p w14:paraId="1B37A8C3" w14:textId="77777777" w:rsidR="00FC0D84" w:rsidRPr="00C603A7" w:rsidRDefault="00FC0D84" w:rsidP="00386690">
      <w:pPr>
        <w:jc w:val="center"/>
        <w:rPr>
          <w:rFonts w:ascii="Times New Roman" w:hAnsi="Times New Roman" w:cs="Times New Roman"/>
          <w:b/>
          <w:bCs/>
          <w:sz w:val="23"/>
          <w:szCs w:val="23"/>
          <w:lang w:val="en-GB"/>
        </w:rPr>
      </w:pPr>
    </w:p>
    <w:p w14:paraId="02EDD862" w14:textId="77777777" w:rsidR="00FC0D84" w:rsidRPr="00C603A7" w:rsidRDefault="00FC0D84" w:rsidP="00386690">
      <w:pPr>
        <w:jc w:val="center"/>
        <w:rPr>
          <w:rFonts w:ascii="Times New Roman" w:hAnsi="Times New Roman" w:cs="Times New Roman"/>
          <w:b/>
          <w:bCs/>
          <w:sz w:val="23"/>
          <w:szCs w:val="23"/>
          <w:lang w:val="en-GB"/>
        </w:rPr>
      </w:pPr>
    </w:p>
    <w:p w14:paraId="10D48C7D" w14:textId="77777777" w:rsidR="00FC0D84" w:rsidRPr="00C603A7" w:rsidRDefault="00FC0D84" w:rsidP="00386690">
      <w:pPr>
        <w:jc w:val="center"/>
        <w:rPr>
          <w:rFonts w:ascii="Times New Roman" w:hAnsi="Times New Roman" w:cs="Times New Roman"/>
          <w:b/>
          <w:bCs/>
          <w:sz w:val="23"/>
          <w:szCs w:val="23"/>
          <w:lang w:val="en-GB"/>
        </w:rPr>
      </w:pPr>
    </w:p>
    <w:p w14:paraId="3637379F" w14:textId="77777777" w:rsidR="00FC0D84" w:rsidRPr="00C603A7" w:rsidRDefault="00FC0D84" w:rsidP="00386690">
      <w:pPr>
        <w:jc w:val="center"/>
        <w:rPr>
          <w:rFonts w:ascii="Times New Roman" w:hAnsi="Times New Roman" w:cs="Times New Roman"/>
          <w:b/>
          <w:bCs/>
          <w:sz w:val="23"/>
          <w:szCs w:val="23"/>
          <w:lang w:val="en-GB"/>
        </w:rPr>
      </w:pPr>
    </w:p>
    <w:p w14:paraId="44904AD8" w14:textId="77777777" w:rsidR="00FC0D84" w:rsidRPr="00C603A7" w:rsidRDefault="00FC0D84" w:rsidP="00386690">
      <w:pPr>
        <w:jc w:val="center"/>
        <w:rPr>
          <w:rFonts w:ascii="Times New Roman" w:hAnsi="Times New Roman" w:cs="Times New Roman"/>
          <w:b/>
          <w:bCs/>
          <w:sz w:val="23"/>
          <w:szCs w:val="23"/>
          <w:lang w:val="en-GB"/>
        </w:rPr>
      </w:pPr>
    </w:p>
    <w:p w14:paraId="444908C8" w14:textId="77777777" w:rsidR="00FC0D84" w:rsidRPr="00C603A7" w:rsidRDefault="00FC0D84" w:rsidP="00386690">
      <w:pPr>
        <w:jc w:val="center"/>
        <w:rPr>
          <w:rFonts w:ascii="Times New Roman" w:hAnsi="Times New Roman" w:cs="Times New Roman"/>
          <w:b/>
          <w:bCs/>
          <w:sz w:val="23"/>
          <w:szCs w:val="23"/>
          <w:lang w:val="en-GB"/>
        </w:rPr>
      </w:pPr>
    </w:p>
    <w:p w14:paraId="574CD276" w14:textId="77777777" w:rsidR="00FC0D84" w:rsidRPr="00C603A7" w:rsidRDefault="00FC0D84" w:rsidP="00386690">
      <w:pPr>
        <w:jc w:val="center"/>
        <w:rPr>
          <w:rFonts w:ascii="Times New Roman" w:hAnsi="Times New Roman" w:cs="Times New Roman"/>
          <w:b/>
          <w:bCs/>
          <w:sz w:val="23"/>
          <w:szCs w:val="23"/>
          <w:lang w:val="en-GB"/>
        </w:rPr>
      </w:pPr>
    </w:p>
    <w:p w14:paraId="6D687FD2" w14:textId="77777777" w:rsidR="00FC0D84" w:rsidRPr="00C603A7" w:rsidRDefault="00FC0D84" w:rsidP="00386690">
      <w:pPr>
        <w:jc w:val="center"/>
        <w:rPr>
          <w:rFonts w:ascii="Times New Roman" w:hAnsi="Times New Roman" w:cs="Times New Roman"/>
          <w:b/>
          <w:bCs/>
          <w:sz w:val="23"/>
          <w:szCs w:val="23"/>
          <w:lang w:val="en-GB"/>
        </w:rPr>
      </w:pPr>
    </w:p>
    <w:p w14:paraId="5FD51A51" w14:textId="77777777" w:rsidR="00FC0D84" w:rsidRPr="00C603A7" w:rsidRDefault="00FC0D84" w:rsidP="00386690">
      <w:pPr>
        <w:jc w:val="center"/>
        <w:rPr>
          <w:rFonts w:ascii="Times New Roman" w:hAnsi="Times New Roman" w:cs="Times New Roman"/>
          <w:b/>
          <w:bCs/>
          <w:sz w:val="23"/>
          <w:szCs w:val="23"/>
          <w:lang w:val="en-GB"/>
        </w:rPr>
      </w:pPr>
    </w:p>
    <w:p w14:paraId="20DD79A5" w14:textId="599701F5" w:rsidR="00FC0D84" w:rsidRPr="00C603A7" w:rsidRDefault="009C3EAD" w:rsidP="00386690">
      <w:pPr>
        <w:jc w:val="center"/>
        <w:rPr>
          <w:rFonts w:ascii="Times New Roman" w:hAnsi="Times New Roman" w:cs="Times New Roman"/>
          <w:b/>
          <w:bCs/>
          <w:sz w:val="24"/>
          <w:szCs w:val="24"/>
          <w:lang w:val="en-GB"/>
        </w:rPr>
      </w:pPr>
      <w:r w:rsidRPr="00C603A7">
        <w:rPr>
          <w:rFonts w:ascii="Times New Roman" w:hAnsi="Times New Roman" w:cs="Times New Roman"/>
          <w:b/>
          <w:bCs/>
          <w:sz w:val="24"/>
          <w:szCs w:val="24"/>
          <w:lang w:val="en-GB"/>
        </w:rPr>
        <w:t>Table of content</w:t>
      </w:r>
    </w:p>
    <w:p w14:paraId="202D313D" w14:textId="77777777" w:rsidR="00FC0D84" w:rsidRPr="00C603A7" w:rsidRDefault="00FC0D84" w:rsidP="00FC0D84">
      <w:pPr>
        <w:rPr>
          <w:rFonts w:ascii="Times New Roman" w:hAnsi="Times New Roman" w:cs="Times New Roman"/>
          <w:b/>
          <w:bCs/>
          <w:sz w:val="24"/>
          <w:szCs w:val="24"/>
          <w:lang w:val="en-GB"/>
        </w:rPr>
      </w:pPr>
    </w:p>
    <w:p w14:paraId="39E4C463" w14:textId="77777777" w:rsidR="00FC0D84" w:rsidRPr="00C603A7" w:rsidRDefault="00FC0D84" w:rsidP="00FC0D84">
      <w:pPr>
        <w:spacing w:before="120" w:after="120"/>
        <w:rPr>
          <w:rFonts w:ascii="Times New Roman" w:eastAsia="Times New Roman" w:hAnsi="Times New Roman" w:cs="Times New Roman"/>
          <w:sz w:val="24"/>
          <w:szCs w:val="24"/>
          <w:vertAlign w:val="superscript"/>
          <w:lang w:val="en-GB"/>
        </w:rPr>
      </w:pPr>
      <w:r w:rsidRPr="00C603A7">
        <w:rPr>
          <w:rFonts w:ascii="Times New Roman" w:hAnsi="Times New Roman" w:cs="Times New Roman"/>
          <w:sz w:val="24"/>
          <w:szCs w:val="24"/>
          <w:lang w:val="en-GB"/>
        </w:rPr>
        <w:t>Consumer preferences for cheese with focus on food safety – a segmentation analysis</w:t>
      </w:r>
    </w:p>
    <w:p w14:paraId="184ED173" w14:textId="1FEB0F1A" w:rsidR="00FC0D84" w:rsidRPr="00C603A7" w:rsidRDefault="00FC0D84" w:rsidP="00FC0D84">
      <w:pPr>
        <w:spacing w:before="120" w:after="120"/>
        <w:rPr>
          <w:rFonts w:ascii="Times New Roman" w:eastAsia="Times New Roman" w:hAnsi="Times New Roman" w:cs="Times New Roman"/>
          <w:sz w:val="24"/>
          <w:szCs w:val="24"/>
          <w:vertAlign w:val="superscript"/>
          <w:lang w:val="en-GB"/>
        </w:rPr>
      </w:pPr>
      <w:r w:rsidRPr="00C603A7">
        <w:rPr>
          <w:rFonts w:ascii="Times New Roman" w:hAnsi="Times New Roman" w:cs="Times New Roman"/>
          <w:sz w:val="24"/>
          <w:szCs w:val="24"/>
          <w:lang w:val="en-GB"/>
        </w:rPr>
        <w:t xml:space="preserve">Edvin </w:t>
      </w:r>
      <w:proofErr w:type="spellStart"/>
      <w:r w:rsidRPr="00C603A7">
        <w:rPr>
          <w:rFonts w:ascii="Times New Roman" w:hAnsi="Times New Roman" w:cs="Times New Roman"/>
          <w:sz w:val="24"/>
          <w:szCs w:val="24"/>
          <w:lang w:val="en-GB"/>
        </w:rPr>
        <w:t>Zhllima</w:t>
      </w:r>
      <w:proofErr w:type="spellEnd"/>
      <w:r w:rsidRPr="00C603A7">
        <w:rPr>
          <w:rFonts w:ascii="Times New Roman" w:hAnsi="Times New Roman" w:cs="Times New Roman"/>
          <w:sz w:val="24"/>
          <w:szCs w:val="24"/>
          <w:lang w:val="en-GB"/>
        </w:rPr>
        <w:t xml:space="preserve">, </w:t>
      </w:r>
      <w:proofErr w:type="spellStart"/>
      <w:r w:rsidRPr="00C603A7">
        <w:rPr>
          <w:rFonts w:ascii="Times New Roman" w:eastAsia="Times New Roman" w:hAnsi="Times New Roman" w:cs="Times New Roman"/>
          <w:color w:val="000000"/>
          <w:sz w:val="24"/>
          <w:szCs w:val="24"/>
          <w:lang w:val="en-GB"/>
        </w:rPr>
        <w:t>Gentjan</w:t>
      </w:r>
      <w:proofErr w:type="spellEnd"/>
      <w:r w:rsidRPr="00C603A7">
        <w:rPr>
          <w:rFonts w:ascii="Times New Roman" w:eastAsia="Times New Roman" w:hAnsi="Times New Roman" w:cs="Times New Roman"/>
          <w:color w:val="000000"/>
          <w:sz w:val="24"/>
          <w:szCs w:val="24"/>
          <w:lang w:val="en-GB"/>
        </w:rPr>
        <w:t xml:space="preserve"> Mehmeti, Drini Imami</w:t>
      </w:r>
    </w:p>
    <w:p w14:paraId="1A8A5D90" w14:textId="77777777" w:rsidR="00FC0D84" w:rsidRPr="00C603A7" w:rsidRDefault="00FC0D84" w:rsidP="00FC0D84">
      <w:pPr>
        <w:spacing w:before="120" w:after="120"/>
        <w:rPr>
          <w:lang w:val="en-GB"/>
        </w:rPr>
      </w:pPr>
    </w:p>
    <w:p w14:paraId="22C5E732" w14:textId="620CA7B3" w:rsidR="00FC0D84" w:rsidRPr="00C603A7" w:rsidRDefault="00FC0D84" w:rsidP="00FC0D84">
      <w:pPr>
        <w:spacing w:before="120" w:after="120"/>
        <w:rPr>
          <w:rFonts w:ascii="Times New Roman" w:hAnsi="Times New Roman" w:cs="Times New Roman"/>
          <w:sz w:val="24"/>
          <w:szCs w:val="24"/>
          <w:lang w:val="en-GB"/>
        </w:rPr>
      </w:pPr>
      <w:r w:rsidRPr="00C603A7">
        <w:rPr>
          <w:rFonts w:ascii="Times New Roman" w:hAnsi="Times New Roman" w:cs="Times New Roman"/>
          <w:sz w:val="24"/>
          <w:szCs w:val="24"/>
          <w:lang w:val="en-GB"/>
        </w:rPr>
        <w:t>Impact of Covid-19 on agriculture sector – the case of Albania</w:t>
      </w:r>
    </w:p>
    <w:p w14:paraId="1D432868" w14:textId="3B5D29FB" w:rsidR="00FC0D84" w:rsidRPr="00C603A7" w:rsidRDefault="00FC0D84" w:rsidP="00FC0D84">
      <w:pPr>
        <w:spacing w:before="120" w:after="120"/>
        <w:rPr>
          <w:rFonts w:ascii="Times New Roman" w:eastAsia="Times New Roman" w:hAnsi="Times New Roman" w:cs="Times New Roman"/>
          <w:sz w:val="24"/>
          <w:szCs w:val="24"/>
          <w:lang w:val="en-GB"/>
        </w:rPr>
      </w:pPr>
      <w:r w:rsidRPr="00C603A7">
        <w:rPr>
          <w:rFonts w:ascii="Times New Roman" w:hAnsi="Times New Roman" w:cs="Times New Roman"/>
          <w:sz w:val="24"/>
          <w:szCs w:val="24"/>
          <w:lang w:val="en-GB"/>
        </w:rPr>
        <w:t>Drini Imami,</w:t>
      </w:r>
      <w:r w:rsidRPr="00C603A7">
        <w:rPr>
          <w:rFonts w:ascii="Times New Roman" w:eastAsia="Times New Roman" w:hAnsi="Times New Roman" w:cs="Times New Roman"/>
          <w:sz w:val="24"/>
          <w:szCs w:val="24"/>
          <w:lang w:val="en-GB"/>
        </w:rPr>
        <w:t xml:space="preserve"> Orjon Xhoxhi, Edvin Zhllima, Engjell Skreli</w:t>
      </w:r>
    </w:p>
    <w:p w14:paraId="70DBDFDE" w14:textId="77777777" w:rsidR="00FC0D84" w:rsidRPr="00C603A7" w:rsidRDefault="00FC0D84" w:rsidP="00FC0D84">
      <w:pPr>
        <w:spacing w:before="120" w:after="120"/>
        <w:rPr>
          <w:lang w:val="en-GB"/>
        </w:rPr>
      </w:pPr>
    </w:p>
    <w:p w14:paraId="3471DCF2" w14:textId="4934277E" w:rsidR="00FC0D84" w:rsidRPr="00C603A7" w:rsidRDefault="00FC0D84" w:rsidP="00FC0D84">
      <w:pPr>
        <w:spacing w:before="120" w:after="120"/>
        <w:rPr>
          <w:rFonts w:ascii="Times New Roman" w:hAnsi="Times New Roman" w:cs="Times New Roman"/>
          <w:sz w:val="24"/>
          <w:szCs w:val="24"/>
          <w:lang w:val="en-GB"/>
        </w:rPr>
      </w:pPr>
      <w:r w:rsidRPr="00C603A7">
        <w:rPr>
          <w:rFonts w:ascii="Times New Roman" w:hAnsi="Times New Roman" w:cs="Times New Roman"/>
          <w:sz w:val="24"/>
          <w:szCs w:val="24"/>
          <w:lang w:val="en-GB"/>
        </w:rPr>
        <w:t>Factors influencing students’ performance – the case of Agricultural University of Tirana</w:t>
      </w:r>
    </w:p>
    <w:p w14:paraId="0F360E7A" w14:textId="7BC6C70F" w:rsidR="00FC0D84" w:rsidRPr="00C603A7" w:rsidRDefault="00FC0D84" w:rsidP="00FC0D84">
      <w:pPr>
        <w:spacing w:before="120" w:after="120"/>
        <w:rPr>
          <w:rFonts w:ascii="Times New Roman" w:eastAsia="Times New Roman" w:hAnsi="Times New Roman" w:cs="Times New Roman"/>
          <w:sz w:val="24"/>
          <w:szCs w:val="24"/>
          <w:vertAlign w:val="superscript"/>
          <w:lang w:val="en-GB"/>
        </w:rPr>
      </w:pPr>
      <w:proofErr w:type="spellStart"/>
      <w:r w:rsidRPr="00C603A7">
        <w:rPr>
          <w:rFonts w:ascii="Times New Roman" w:hAnsi="Times New Roman" w:cs="Times New Roman"/>
          <w:sz w:val="24"/>
          <w:szCs w:val="24"/>
          <w:lang w:val="en-GB"/>
        </w:rPr>
        <w:t>Edmira</w:t>
      </w:r>
      <w:proofErr w:type="spellEnd"/>
      <w:r w:rsidRPr="00C603A7">
        <w:rPr>
          <w:rFonts w:ascii="Times New Roman" w:hAnsi="Times New Roman" w:cs="Times New Roman"/>
          <w:sz w:val="24"/>
          <w:szCs w:val="24"/>
          <w:lang w:val="en-GB"/>
        </w:rPr>
        <w:t xml:space="preserve"> </w:t>
      </w:r>
      <w:proofErr w:type="spellStart"/>
      <w:r w:rsidRPr="00C603A7">
        <w:rPr>
          <w:rFonts w:ascii="Times New Roman" w:hAnsi="Times New Roman" w:cs="Times New Roman"/>
          <w:sz w:val="24"/>
          <w:szCs w:val="24"/>
          <w:lang w:val="en-GB"/>
        </w:rPr>
        <w:t>Shahu</w:t>
      </w:r>
      <w:proofErr w:type="spellEnd"/>
      <w:r w:rsidRPr="00C603A7">
        <w:rPr>
          <w:rFonts w:ascii="Times New Roman" w:hAnsi="Times New Roman" w:cs="Times New Roman"/>
          <w:sz w:val="24"/>
          <w:szCs w:val="24"/>
          <w:lang w:val="en-GB"/>
        </w:rPr>
        <w:t xml:space="preserve">, Aurora Hoxha, </w:t>
      </w:r>
      <w:proofErr w:type="spellStart"/>
      <w:r w:rsidRPr="00C603A7">
        <w:rPr>
          <w:rFonts w:ascii="Times New Roman" w:hAnsi="Times New Roman" w:cs="Times New Roman"/>
          <w:sz w:val="24"/>
          <w:szCs w:val="24"/>
          <w:lang w:val="en-GB"/>
        </w:rPr>
        <w:t>Jona</w:t>
      </w:r>
      <w:proofErr w:type="spellEnd"/>
      <w:r w:rsidRPr="00C603A7">
        <w:rPr>
          <w:rFonts w:ascii="Times New Roman" w:hAnsi="Times New Roman" w:cs="Times New Roman"/>
          <w:sz w:val="24"/>
          <w:szCs w:val="24"/>
          <w:lang w:val="en-GB"/>
        </w:rPr>
        <w:t xml:space="preserve"> </w:t>
      </w:r>
      <w:proofErr w:type="spellStart"/>
      <w:r w:rsidRPr="00C603A7">
        <w:rPr>
          <w:rFonts w:ascii="Times New Roman" w:hAnsi="Times New Roman" w:cs="Times New Roman"/>
          <w:sz w:val="24"/>
          <w:szCs w:val="24"/>
          <w:lang w:val="en-GB"/>
        </w:rPr>
        <w:t>Mulliri</w:t>
      </w:r>
      <w:proofErr w:type="spellEnd"/>
      <w:r w:rsidR="003B4C27">
        <w:rPr>
          <w:rFonts w:ascii="Times New Roman" w:hAnsi="Times New Roman" w:cs="Times New Roman"/>
          <w:sz w:val="24"/>
          <w:szCs w:val="24"/>
          <w:lang w:val="en-GB"/>
        </w:rPr>
        <w:t xml:space="preserve">, </w:t>
      </w:r>
      <w:r w:rsidR="005D7330">
        <w:rPr>
          <w:rFonts w:ascii="Times New Roman" w:hAnsi="Times New Roman" w:cs="Times New Roman"/>
          <w:sz w:val="24"/>
          <w:szCs w:val="24"/>
          <w:lang w:val="en-GB"/>
        </w:rPr>
        <w:t xml:space="preserve">Edvin </w:t>
      </w:r>
      <w:proofErr w:type="spellStart"/>
      <w:r w:rsidR="005D7330">
        <w:rPr>
          <w:rFonts w:ascii="Times New Roman" w:hAnsi="Times New Roman" w:cs="Times New Roman"/>
          <w:sz w:val="24"/>
          <w:szCs w:val="24"/>
          <w:lang w:val="en-GB"/>
        </w:rPr>
        <w:t>Zhllima</w:t>
      </w:r>
      <w:proofErr w:type="spellEnd"/>
    </w:p>
    <w:p w14:paraId="27204CFC" w14:textId="77777777" w:rsidR="00FC0D84" w:rsidRPr="00C603A7" w:rsidRDefault="00FC0D84" w:rsidP="00FC0D84">
      <w:pPr>
        <w:spacing w:before="120" w:after="120"/>
        <w:rPr>
          <w:lang w:val="en-GB"/>
        </w:rPr>
      </w:pPr>
    </w:p>
    <w:p w14:paraId="27D61AA4" w14:textId="3E283259" w:rsidR="00FC0D84" w:rsidRPr="00C603A7" w:rsidRDefault="00FC0D84" w:rsidP="00FC0D84">
      <w:pPr>
        <w:spacing w:before="120" w:after="120"/>
        <w:rPr>
          <w:rFonts w:ascii="Times New Roman" w:hAnsi="Times New Roman" w:cs="Times New Roman"/>
          <w:sz w:val="24"/>
          <w:szCs w:val="24"/>
          <w:lang w:val="en-GB"/>
        </w:rPr>
      </w:pPr>
      <w:r w:rsidRPr="00C603A7">
        <w:rPr>
          <w:rFonts w:ascii="Times New Roman" w:hAnsi="Times New Roman" w:cs="Times New Roman"/>
          <w:sz w:val="24"/>
          <w:szCs w:val="24"/>
          <w:lang w:val="en-GB"/>
        </w:rPr>
        <w:t>Farmer financial education – the case of vineyards farmers in Kosovo</w:t>
      </w:r>
    </w:p>
    <w:p w14:paraId="5BC8C185" w14:textId="6E5AF69D" w:rsidR="00FC0D84" w:rsidRPr="00C603A7" w:rsidRDefault="00FC0D84" w:rsidP="00FC0D84">
      <w:pPr>
        <w:spacing w:before="120" w:after="120"/>
        <w:rPr>
          <w:rFonts w:ascii="Times New Roman" w:hAnsi="Times New Roman" w:cs="Times New Roman"/>
          <w:sz w:val="24"/>
          <w:szCs w:val="24"/>
          <w:lang w:val="en-GB"/>
        </w:rPr>
      </w:pPr>
      <w:r w:rsidRPr="00C603A7">
        <w:rPr>
          <w:rFonts w:ascii="Times New Roman" w:hAnsi="Times New Roman" w:cs="Times New Roman"/>
          <w:sz w:val="24"/>
          <w:szCs w:val="24"/>
          <w:lang w:val="en-GB"/>
        </w:rPr>
        <w:t xml:space="preserve">Aurora Hoxha, </w:t>
      </w:r>
      <w:proofErr w:type="spellStart"/>
      <w:r w:rsidRPr="00C603A7">
        <w:rPr>
          <w:rFonts w:ascii="Times New Roman" w:hAnsi="Times New Roman" w:cs="Times New Roman"/>
          <w:sz w:val="24"/>
          <w:szCs w:val="24"/>
          <w:lang w:val="en-GB"/>
        </w:rPr>
        <w:t>Edmira</w:t>
      </w:r>
      <w:proofErr w:type="spellEnd"/>
      <w:r w:rsidRPr="00C603A7">
        <w:rPr>
          <w:rFonts w:ascii="Times New Roman" w:hAnsi="Times New Roman" w:cs="Times New Roman"/>
          <w:sz w:val="24"/>
          <w:szCs w:val="24"/>
          <w:lang w:val="en-GB"/>
        </w:rPr>
        <w:t xml:space="preserve"> </w:t>
      </w:r>
      <w:proofErr w:type="spellStart"/>
      <w:r w:rsidR="00F35B58">
        <w:rPr>
          <w:rFonts w:ascii="Times New Roman" w:hAnsi="Times New Roman" w:cs="Times New Roman"/>
          <w:sz w:val="24"/>
          <w:szCs w:val="24"/>
          <w:lang w:val="en-GB"/>
        </w:rPr>
        <w:t>Shahu</w:t>
      </w:r>
      <w:proofErr w:type="spellEnd"/>
      <w:r w:rsidR="00F35B58">
        <w:rPr>
          <w:rFonts w:ascii="Times New Roman" w:hAnsi="Times New Roman" w:cs="Times New Roman"/>
          <w:sz w:val="24"/>
          <w:szCs w:val="24"/>
          <w:lang w:val="en-GB"/>
        </w:rPr>
        <w:t xml:space="preserve"> (</w:t>
      </w:r>
      <w:proofErr w:type="spellStart"/>
      <w:r w:rsidRPr="00C603A7">
        <w:rPr>
          <w:rFonts w:ascii="Times New Roman" w:hAnsi="Times New Roman" w:cs="Times New Roman"/>
          <w:sz w:val="24"/>
          <w:szCs w:val="24"/>
          <w:lang w:val="en-GB"/>
        </w:rPr>
        <w:t>Ozuni</w:t>
      </w:r>
      <w:proofErr w:type="spellEnd"/>
      <w:r w:rsidR="00F35B58">
        <w:rPr>
          <w:rFonts w:ascii="Times New Roman" w:hAnsi="Times New Roman" w:cs="Times New Roman"/>
          <w:sz w:val="24"/>
          <w:szCs w:val="24"/>
          <w:lang w:val="en-GB"/>
        </w:rPr>
        <w:t>)</w:t>
      </w:r>
      <w:r w:rsidRPr="00C603A7">
        <w:rPr>
          <w:rFonts w:ascii="Times New Roman" w:eastAsia="Times New Roman" w:hAnsi="Times New Roman" w:cs="Times New Roman"/>
          <w:color w:val="000000"/>
          <w:sz w:val="24"/>
          <w:szCs w:val="24"/>
          <w:lang w:val="en-GB"/>
        </w:rPr>
        <w:t>, Drini Imami</w:t>
      </w:r>
    </w:p>
    <w:p w14:paraId="433908AA" w14:textId="77777777" w:rsidR="00FC0D84" w:rsidRPr="00C603A7" w:rsidRDefault="00FC0D84" w:rsidP="00FC0D84">
      <w:pPr>
        <w:spacing w:before="120" w:after="120"/>
        <w:rPr>
          <w:rFonts w:eastAsia="Times New Roman"/>
          <w:lang w:val="en-GB"/>
        </w:rPr>
      </w:pPr>
    </w:p>
    <w:p w14:paraId="3FB4F125" w14:textId="15865A86" w:rsidR="00FC0D84" w:rsidRDefault="00FC0D84" w:rsidP="00FC0D84">
      <w:pPr>
        <w:spacing w:before="120" w:after="120"/>
        <w:rPr>
          <w:rFonts w:ascii="Times New Roman" w:eastAsia="Times New Roman" w:hAnsi="Times New Roman" w:cs="Times New Roman"/>
          <w:sz w:val="24"/>
          <w:szCs w:val="24"/>
          <w:lang w:val="en-GB"/>
        </w:rPr>
      </w:pPr>
      <w:r w:rsidRPr="00C603A7">
        <w:rPr>
          <w:rFonts w:ascii="Times New Roman" w:eastAsia="Times New Roman" w:hAnsi="Times New Roman" w:cs="Times New Roman"/>
          <w:sz w:val="24"/>
          <w:szCs w:val="24"/>
          <w:lang w:val="en-GB"/>
        </w:rPr>
        <w:t>Impact assessment of subsidy schemes with machine learning – the case of the greenhouse sector in Albania</w:t>
      </w:r>
    </w:p>
    <w:p w14:paraId="1B93EC83" w14:textId="469355D4" w:rsidR="00FC0D84" w:rsidRPr="00C603A7" w:rsidRDefault="00FC0D84" w:rsidP="00FC0D84">
      <w:pPr>
        <w:spacing w:before="120" w:after="120"/>
        <w:rPr>
          <w:rFonts w:ascii="Times New Roman" w:eastAsia="Times New Roman" w:hAnsi="Times New Roman" w:cs="Times New Roman"/>
          <w:sz w:val="24"/>
          <w:szCs w:val="24"/>
          <w:lang w:val="en-GB"/>
        </w:rPr>
      </w:pPr>
      <w:proofErr w:type="spellStart"/>
      <w:r w:rsidRPr="00C603A7">
        <w:rPr>
          <w:rFonts w:ascii="Times New Roman" w:eastAsia="Times New Roman" w:hAnsi="Times New Roman" w:cs="Times New Roman"/>
          <w:sz w:val="24"/>
          <w:szCs w:val="24"/>
          <w:lang w:val="en-GB"/>
        </w:rPr>
        <w:t>Orjon</w:t>
      </w:r>
      <w:proofErr w:type="spellEnd"/>
      <w:r w:rsidRPr="00C603A7">
        <w:rPr>
          <w:rFonts w:ascii="Times New Roman" w:eastAsia="Times New Roman" w:hAnsi="Times New Roman" w:cs="Times New Roman"/>
          <w:sz w:val="24"/>
          <w:szCs w:val="24"/>
          <w:lang w:val="en-GB"/>
        </w:rPr>
        <w:t xml:space="preserve"> </w:t>
      </w:r>
      <w:proofErr w:type="spellStart"/>
      <w:r w:rsidRPr="00C603A7">
        <w:rPr>
          <w:rFonts w:ascii="Times New Roman" w:eastAsia="Times New Roman" w:hAnsi="Times New Roman" w:cs="Times New Roman"/>
          <w:sz w:val="24"/>
          <w:szCs w:val="24"/>
          <w:lang w:val="en-GB"/>
        </w:rPr>
        <w:t>Xhoxhi</w:t>
      </w:r>
      <w:proofErr w:type="spellEnd"/>
      <w:r w:rsidRPr="00C603A7">
        <w:rPr>
          <w:rFonts w:ascii="Times New Roman" w:eastAsia="Times New Roman" w:hAnsi="Times New Roman" w:cs="Times New Roman"/>
          <w:sz w:val="24"/>
          <w:szCs w:val="24"/>
          <w:lang w:val="en-GB"/>
        </w:rPr>
        <w:t xml:space="preserve">, </w:t>
      </w:r>
      <w:proofErr w:type="spellStart"/>
      <w:r w:rsidRPr="00C603A7">
        <w:rPr>
          <w:rFonts w:ascii="Times New Roman" w:eastAsia="Times New Roman" w:hAnsi="Times New Roman" w:cs="Times New Roman"/>
          <w:sz w:val="24"/>
          <w:szCs w:val="24"/>
          <w:lang w:val="en-GB"/>
        </w:rPr>
        <w:t>Engjell</w:t>
      </w:r>
      <w:proofErr w:type="spellEnd"/>
      <w:r w:rsidRPr="00C603A7">
        <w:rPr>
          <w:rFonts w:ascii="Times New Roman" w:eastAsia="Times New Roman" w:hAnsi="Times New Roman" w:cs="Times New Roman"/>
          <w:sz w:val="24"/>
          <w:szCs w:val="24"/>
          <w:lang w:val="en-GB"/>
        </w:rPr>
        <w:t xml:space="preserve"> </w:t>
      </w:r>
      <w:proofErr w:type="spellStart"/>
      <w:r w:rsidR="00C603A7" w:rsidRPr="00C603A7">
        <w:rPr>
          <w:rFonts w:ascii="Times New Roman" w:eastAsia="Times New Roman" w:hAnsi="Times New Roman" w:cs="Times New Roman"/>
          <w:sz w:val="24"/>
          <w:szCs w:val="24"/>
          <w:lang w:val="en-GB"/>
        </w:rPr>
        <w:t>Skreli</w:t>
      </w:r>
      <w:proofErr w:type="spellEnd"/>
      <w:r w:rsidR="00C603A7" w:rsidRPr="00C603A7">
        <w:rPr>
          <w:rFonts w:ascii="Times New Roman" w:eastAsia="Times New Roman" w:hAnsi="Times New Roman" w:cs="Times New Roman"/>
          <w:sz w:val="24"/>
          <w:szCs w:val="24"/>
          <w:lang w:val="en-GB"/>
        </w:rPr>
        <w:t>, Edvin</w:t>
      </w:r>
      <w:r w:rsidRPr="00C603A7">
        <w:rPr>
          <w:rFonts w:ascii="Times New Roman" w:eastAsia="Times New Roman" w:hAnsi="Times New Roman" w:cs="Times New Roman"/>
          <w:sz w:val="24"/>
          <w:szCs w:val="24"/>
          <w:lang w:val="en-GB"/>
        </w:rPr>
        <w:t xml:space="preserve"> Zhllima, Drini Imami</w:t>
      </w:r>
      <w:r w:rsidRPr="00C603A7">
        <w:rPr>
          <w:rFonts w:ascii="Times New Roman" w:eastAsia="Times New Roman" w:hAnsi="Times New Roman" w:cs="Times New Roman"/>
          <w:sz w:val="24"/>
          <w:szCs w:val="24"/>
          <w:vertAlign w:val="superscript"/>
          <w:lang w:val="en-GB"/>
        </w:rPr>
        <w:t xml:space="preserve"> </w:t>
      </w:r>
      <w:r w:rsidRPr="00C603A7">
        <w:rPr>
          <w:rFonts w:ascii="Times New Roman" w:eastAsia="Times New Roman" w:hAnsi="Times New Roman" w:cs="Times New Roman"/>
          <w:sz w:val="24"/>
          <w:szCs w:val="24"/>
          <w:lang w:val="en-GB"/>
        </w:rPr>
        <w:t>Sophia Davidova and Dmitry Zvyagintsev</w:t>
      </w:r>
    </w:p>
    <w:p w14:paraId="29D6DEF8" w14:textId="33348D9C" w:rsidR="00C7410A" w:rsidRPr="00C603A7" w:rsidRDefault="00C7410A" w:rsidP="00FC0D84">
      <w:pPr>
        <w:spacing w:before="120" w:after="120"/>
        <w:rPr>
          <w:rFonts w:ascii="Times New Roman" w:eastAsia="Times New Roman" w:hAnsi="Times New Roman" w:cs="Times New Roman"/>
          <w:sz w:val="24"/>
          <w:szCs w:val="24"/>
          <w:lang w:val="en-GB"/>
        </w:rPr>
      </w:pPr>
    </w:p>
    <w:p w14:paraId="02297863" w14:textId="0BFC11DC" w:rsidR="00C7410A" w:rsidRPr="00C603A7" w:rsidRDefault="00C7410A" w:rsidP="00FC0D84">
      <w:pPr>
        <w:spacing w:before="120" w:after="120"/>
        <w:rPr>
          <w:rFonts w:ascii="Times New Roman" w:eastAsia="Times New Roman" w:hAnsi="Times New Roman" w:cs="Times New Roman"/>
          <w:sz w:val="24"/>
          <w:szCs w:val="24"/>
          <w:lang w:val="en-GB"/>
        </w:rPr>
      </w:pPr>
    </w:p>
    <w:p w14:paraId="6045D8A0" w14:textId="72944954" w:rsidR="00C7410A" w:rsidRPr="00C603A7" w:rsidRDefault="00C7410A" w:rsidP="00FC0D84">
      <w:pPr>
        <w:spacing w:before="120" w:after="120"/>
        <w:rPr>
          <w:rFonts w:ascii="Times New Roman" w:eastAsia="Times New Roman" w:hAnsi="Times New Roman" w:cs="Times New Roman"/>
          <w:sz w:val="24"/>
          <w:szCs w:val="24"/>
          <w:lang w:val="en-GB"/>
        </w:rPr>
      </w:pPr>
    </w:p>
    <w:p w14:paraId="3DCE1CEB" w14:textId="27383186" w:rsidR="00C7410A" w:rsidRPr="00C603A7" w:rsidRDefault="00C7410A" w:rsidP="00FC0D84">
      <w:pPr>
        <w:spacing w:before="120" w:after="120"/>
        <w:rPr>
          <w:rFonts w:ascii="Times New Roman" w:eastAsia="Times New Roman" w:hAnsi="Times New Roman" w:cs="Times New Roman"/>
          <w:sz w:val="24"/>
          <w:szCs w:val="24"/>
          <w:lang w:val="en-GB"/>
        </w:rPr>
      </w:pPr>
    </w:p>
    <w:p w14:paraId="31D0A677" w14:textId="2C8EF355" w:rsidR="00C7410A" w:rsidRPr="00C603A7" w:rsidRDefault="00C7410A" w:rsidP="00FC0D84">
      <w:pPr>
        <w:spacing w:before="120" w:after="120"/>
        <w:rPr>
          <w:rFonts w:ascii="Times New Roman" w:eastAsia="Times New Roman" w:hAnsi="Times New Roman" w:cs="Times New Roman"/>
          <w:sz w:val="24"/>
          <w:szCs w:val="24"/>
          <w:lang w:val="en-GB"/>
        </w:rPr>
      </w:pPr>
    </w:p>
    <w:p w14:paraId="0319BE07" w14:textId="0D9BC439" w:rsidR="00C7410A" w:rsidRPr="00C603A7" w:rsidRDefault="00C7410A" w:rsidP="00FC0D84">
      <w:pPr>
        <w:spacing w:before="120" w:after="120"/>
        <w:rPr>
          <w:rFonts w:ascii="Times New Roman" w:eastAsia="Times New Roman" w:hAnsi="Times New Roman" w:cs="Times New Roman"/>
          <w:sz w:val="24"/>
          <w:szCs w:val="24"/>
          <w:lang w:val="en-GB"/>
        </w:rPr>
      </w:pPr>
    </w:p>
    <w:p w14:paraId="2BC38299" w14:textId="0675E16E" w:rsidR="00C7410A" w:rsidRPr="00C603A7" w:rsidRDefault="00C7410A" w:rsidP="00FC0D84">
      <w:pPr>
        <w:spacing w:before="120" w:after="120"/>
        <w:rPr>
          <w:rFonts w:ascii="Times New Roman" w:eastAsia="Times New Roman" w:hAnsi="Times New Roman" w:cs="Times New Roman"/>
          <w:sz w:val="24"/>
          <w:szCs w:val="24"/>
          <w:lang w:val="en-GB"/>
        </w:rPr>
      </w:pPr>
    </w:p>
    <w:p w14:paraId="7355F520" w14:textId="43A9C75C" w:rsidR="00C7410A" w:rsidRPr="00C603A7" w:rsidRDefault="00C7410A" w:rsidP="00FC0D84">
      <w:pPr>
        <w:spacing w:before="120" w:after="120"/>
        <w:rPr>
          <w:rFonts w:ascii="Times New Roman" w:eastAsia="Times New Roman" w:hAnsi="Times New Roman" w:cs="Times New Roman"/>
          <w:sz w:val="24"/>
          <w:szCs w:val="24"/>
          <w:lang w:val="en-GB"/>
        </w:rPr>
      </w:pPr>
    </w:p>
    <w:p w14:paraId="6351DC47" w14:textId="567C710D" w:rsidR="00C7410A" w:rsidRPr="00C603A7" w:rsidRDefault="00C7410A" w:rsidP="00FC0D84">
      <w:pPr>
        <w:spacing w:before="120" w:after="120"/>
        <w:rPr>
          <w:rFonts w:ascii="Times New Roman" w:eastAsia="Times New Roman" w:hAnsi="Times New Roman" w:cs="Times New Roman"/>
          <w:sz w:val="24"/>
          <w:szCs w:val="24"/>
          <w:lang w:val="en-GB"/>
        </w:rPr>
      </w:pPr>
    </w:p>
    <w:p w14:paraId="7F09D0B7" w14:textId="36990A3F" w:rsidR="00C7410A" w:rsidRPr="00C603A7" w:rsidRDefault="00C7410A" w:rsidP="00FC0D84">
      <w:pPr>
        <w:spacing w:before="120" w:after="120"/>
        <w:rPr>
          <w:rFonts w:ascii="Times New Roman" w:eastAsia="Times New Roman" w:hAnsi="Times New Roman" w:cs="Times New Roman"/>
          <w:sz w:val="24"/>
          <w:szCs w:val="24"/>
          <w:lang w:val="en-GB"/>
        </w:rPr>
      </w:pPr>
    </w:p>
    <w:p w14:paraId="6A65587F" w14:textId="4D00F71F" w:rsidR="00C7410A" w:rsidRPr="00C603A7" w:rsidRDefault="00C7410A" w:rsidP="00FC0D84">
      <w:pPr>
        <w:spacing w:before="120" w:after="120"/>
        <w:rPr>
          <w:rFonts w:ascii="Times New Roman" w:eastAsia="Times New Roman" w:hAnsi="Times New Roman" w:cs="Times New Roman"/>
          <w:sz w:val="24"/>
          <w:szCs w:val="24"/>
          <w:lang w:val="en-GB"/>
        </w:rPr>
      </w:pPr>
    </w:p>
    <w:p w14:paraId="12BCC0C6" w14:textId="77777777" w:rsidR="00C7410A" w:rsidRPr="00C7410A" w:rsidRDefault="00C7410A" w:rsidP="00C7410A">
      <w:pPr>
        <w:spacing w:before="240" w:after="60" w:line="240" w:lineRule="auto"/>
        <w:jc w:val="center"/>
        <w:outlineLvl w:val="0"/>
        <w:rPr>
          <w:rFonts w:ascii="Times New Roman" w:eastAsia="Times New Roman" w:hAnsi="Times New Roman" w:cs="Times New Roman"/>
          <w:b/>
          <w:bCs/>
          <w:kern w:val="28"/>
          <w:sz w:val="28"/>
          <w:szCs w:val="28"/>
          <w:lang w:val="en-GB"/>
        </w:rPr>
      </w:pPr>
      <w:r w:rsidRPr="00C7410A">
        <w:rPr>
          <w:rFonts w:ascii="Times New Roman" w:eastAsia="Times New Roman" w:hAnsi="Times New Roman" w:cs="Times New Roman"/>
          <w:b/>
          <w:bCs/>
          <w:kern w:val="28"/>
          <w:sz w:val="28"/>
          <w:szCs w:val="28"/>
          <w:lang w:val="en-GB"/>
        </w:rPr>
        <w:lastRenderedPageBreak/>
        <w:t>“Consumer preferences for cheese with focus on food safety – a segmentation analysis”</w:t>
      </w:r>
    </w:p>
    <w:p w14:paraId="6E3C33A2" w14:textId="77777777" w:rsidR="00C7410A" w:rsidRPr="00C7410A" w:rsidRDefault="00C7410A" w:rsidP="00C7410A">
      <w:pPr>
        <w:spacing w:after="120" w:line="240" w:lineRule="auto"/>
        <w:rPr>
          <w:rFonts w:ascii="Times New Roman" w:eastAsia="Times New Roman" w:hAnsi="Times New Roman" w:cs="Times New Roman"/>
          <w:b/>
          <w:color w:val="000000"/>
          <w:sz w:val="24"/>
          <w:szCs w:val="24"/>
          <w:highlight w:val="white"/>
          <w:lang w:val="en-GB"/>
        </w:rPr>
      </w:pPr>
    </w:p>
    <w:p w14:paraId="1695C78A" w14:textId="77777777" w:rsidR="00C7410A" w:rsidRPr="00C7410A" w:rsidRDefault="00C7410A" w:rsidP="00C7410A">
      <w:pPr>
        <w:spacing w:after="120" w:line="240" w:lineRule="auto"/>
        <w:rPr>
          <w:rFonts w:ascii="Times New Roman" w:eastAsia="Times New Roman" w:hAnsi="Times New Roman" w:cs="Times New Roman"/>
          <w:b/>
          <w:color w:val="000000"/>
          <w:sz w:val="24"/>
          <w:szCs w:val="24"/>
          <w:highlight w:val="white"/>
          <w:lang w:val="en-GB"/>
        </w:rPr>
      </w:pPr>
    </w:p>
    <w:p w14:paraId="0B14AC03" w14:textId="77777777" w:rsidR="00C7410A" w:rsidRPr="00C7410A" w:rsidRDefault="00C7410A" w:rsidP="00C7410A">
      <w:pPr>
        <w:spacing w:after="120" w:line="240" w:lineRule="auto"/>
        <w:jc w:val="center"/>
        <w:rPr>
          <w:rFonts w:ascii="Times New Roman" w:eastAsia="Times New Roman" w:hAnsi="Times New Roman" w:cs="Times New Roman"/>
          <w:sz w:val="24"/>
          <w:szCs w:val="24"/>
          <w:lang w:val="en-GB"/>
        </w:rPr>
      </w:pPr>
      <w:r w:rsidRPr="00C7410A">
        <w:rPr>
          <w:rFonts w:ascii="Times New Roman" w:eastAsia="Times New Roman" w:hAnsi="Times New Roman" w:cs="Times New Roman"/>
          <w:b/>
          <w:color w:val="000000"/>
          <w:sz w:val="24"/>
          <w:szCs w:val="24"/>
          <w:highlight w:val="white"/>
          <w:lang w:val="en-GB"/>
        </w:rPr>
        <w:t>Edvin Zhllima</w:t>
      </w:r>
    </w:p>
    <w:p w14:paraId="3317AF61" w14:textId="77777777" w:rsidR="00C7410A" w:rsidRPr="00C7410A" w:rsidRDefault="00C7410A" w:rsidP="00C7410A">
      <w:pPr>
        <w:spacing w:after="0" w:line="240" w:lineRule="auto"/>
        <w:jc w:val="center"/>
        <w:rPr>
          <w:rFonts w:ascii="Times New Roman" w:eastAsia="Times New Roman" w:hAnsi="Times New Roman" w:cs="Times New Roman"/>
          <w:color w:val="000000"/>
          <w:sz w:val="24"/>
          <w:szCs w:val="24"/>
          <w:highlight w:val="white"/>
          <w:lang w:val="en-GB"/>
        </w:rPr>
      </w:pPr>
      <w:r w:rsidRPr="00C7410A">
        <w:rPr>
          <w:rFonts w:ascii="Times New Roman" w:eastAsia="Times New Roman" w:hAnsi="Times New Roman" w:cs="Times New Roman"/>
          <w:color w:val="000000"/>
          <w:sz w:val="24"/>
          <w:szCs w:val="24"/>
          <w:highlight w:val="white"/>
          <w:lang w:val="en-GB"/>
        </w:rPr>
        <w:t>Faculty of Economics and Agribusiness, Agriculture University of Tirana, Tirana, Albania.</w:t>
      </w:r>
    </w:p>
    <w:p w14:paraId="2EAFF03C" w14:textId="77777777" w:rsidR="00C7410A" w:rsidRPr="00C7410A" w:rsidRDefault="00C7410A" w:rsidP="00C7410A">
      <w:pPr>
        <w:spacing w:after="120" w:line="240" w:lineRule="auto"/>
        <w:jc w:val="center"/>
        <w:rPr>
          <w:rFonts w:ascii="Times New Roman" w:eastAsia="Times New Roman" w:hAnsi="Times New Roman" w:cs="Times New Roman"/>
          <w:sz w:val="24"/>
          <w:szCs w:val="24"/>
          <w:lang w:val="en-GB"/>
        </w:rPr>
      </w:pPr>
      <w:r w:rsidRPr="00C7410A">
        <w:rPr>
          <w:rFonts w:ascii="Times New Roman" w:eastAsia="Times New Roman" w:hAnsi="Times New Roman" w:cs="Times New Roman"/>
          <w:color w:val="000000"/>
          <w:sz w:val="24"/>
          <w:szCs w:val="24"/>
          <w:highlight w:val="white"/>
          <w:lang w:val="en-GB"/>
        </w:rPr>
        <w:t xml:space="preserve">E-mail: </w:t>
      </w:r>
      <w:hyperlink r:id="rId8">
        <w:r w:rsidRPr="00C7410A">
          <w:rPr>
            <w:rFonts w:ascii="Times New Roman" w:eastAsia="Times New Roman" w:hAnsi="Times New Roman" w:cs="Times New Roman"/>
            <w:color w:val="0000FF"/>
            <w:sz w:val="24"/>
            <w:szCs w:val="24"/>
            <w:highlight w:val="white"/>
            <w:u w:val="single"/>
            <w:lang w:val="en-GB"/>
          </w:rPr>
          <w:t>ezhllima@ubt.edu.al</w:t>
        </w:r>
      </w:hyperlink>
    </w:p>
    <w:p w14:paraId="2E9FF907" w14:textId="77777777" w:rsidR="00C7410A" w:rsidRPr="00C7410A" w:rsidRDefault="00C7410A" w:rsidP="00C7410A">
      <w:pPr>
        <w:spacing w:after="120" w:line="240" w:lineRule="auto"/>
        <w:rPr>
          <w:rFonts w:ascii="Times New Roman" w:eastAsia="Times New Roman" w:hAnsi="Times New Roman" w:cs="Times New Roman"/>
          <w:b/>
          <w:color w:val="000000"/>
          <w:sz w:val="24"/>
          <w:szCs w:val="24"/>
          <w:highlight w:val="white"/>
          <w:lang w:val="en-GB"/>
        </w:rPr>
      </w:pPr>
    </w:p>
    <w:p w14:paraId="4A21431B" w14:textId="77777777" w:rsidR="00C7410A" w:rsidRPr="00C7410A" w:rsidRDefault="00C7410A" w:rsidP="00C7410A">
      <w:pPr>
        <w:spacing w:after="120" w:line="240" w:lineRule="auto"/>
        <w:jc w:val="center"/>
        <w:rPr>
          <w:rFonts w:ascii="Times New Roman" w:eastAsia="Times New Roman" w:hAnsi="Times New Roman" w:cs="Times New Roman"/>
          <w:sz w:val="24"/>
          <w:szCs w:val="24"/>
          <w:lang w:val="en-GB"/>
        </w:rPr>
      </w:pPr>
      <w:r w:rsidRPr="00C7410A">
        <w:rPr>
          <w:rFonts w:ascii="Times New Roman" w:eastAsia="Times New Roman" w:hAnsi="Times New Roman" w:cs="Times New Roman"/>
          <w:b/>
          <w:color w:val="000000"/>
          <w:sz w:val="24"/>
          <w:szCs w:val="24"/>
          <w:highlight w:val="white"/>
          <w:lang w:val="en-GB"/>
        </w:rPr>
        <w:t>Gentjan Mehmeti</w:t>
      </w:r>
    </w:p>
    <w:p w14:paraId="79183A2C" w14:textId="77777777" w:rsidR="00C7410A" w:rsidRPr="00C7410A" w:rsidRDefault="00C7410A" w:rsidP="00C7410A">
      <w:pPr>
        <w:spacing w:after="0" w:line="240" w:lineRule="auto"/>
        <w:jc w:val="center"/>
        <w:rPr>
          <w:rFonts w:ascii="Times New Roman" w:eastAsia="Times New Roman" w:hAnsi="Times New Roman" w:cs="Times New Roman"/>
          <w:color w:val="000000"/>
          <w:sz w:val="24"/>
          <w:szCs w:val="24"/>
          <w:highlight w:val="white"/>
          <w:lang w:val="en-GB"/>
        </w:rPr>
      </w:pPr>
      <w:r w:rsidRPr="00C7410A">
        <w:rPr>
          <w:rFonts w:ascii="Times New Roman" w:eastAsia="Times New Roman" w:hAnsi="Times New Roman" w:cs="Times New Roman"/>
          <w:color w:val="000000"/>
          <w:sz w:val="24"/>
          <w:szCs w:val="24"/>
          <w:highlight w:val="white"/>
          <w:lang w:val="en-GB"/>
        </w:rPr>
        <w:t>Faculty of Economics and Agribusiness, Agriculture University of Tirana, Tirana, Albania.</w:t>
      </w:r>
    </w:p>
    <w:p w14:paraId="317CA23F" w14:textId="77777777" w:rsidR="00C7410A" w:rsidRPr="00C7410A" w:rsidRDefault="00C7410A" w:rsidP="00C7410A">
      <w:pPr>
        <w:spacing w:after="120" w:line="240" w:lineRule="auto"/>
        <w:jc w:val="center"/>
        <w:rPr>
          <w:rFonts w:ascii="Times New Roman" w:eastAsia="Times New Roman" w:hAnsi="Times New Roman" w:cs="Times New Roman"/>
          <w:sz w:val="24"/>
          <w:szCs w:val="24"/>
          <w:lang w:val="en-GB"/>
        </w:rPr>
      </w:pPr>
      <w:r w:rsidRPr="00C7410A">
        <w:rPr>
          <w:rFonts w:ascii="Times New Roman" w:eastAsia="Times New Roman" w:hAnsi="Times New Roman" w:cs="Times New Roman"/>
          <w:color w:val="000000"/>
          <w:sz w:val="24"/>
          <w:szCs w:val="24"/>
          <w:highlight w:val="white"/>
          <w:lang w:val="en-GB"/>
        </w:rPr>
        <w:t xml:space="preserve">E-mail: </w:t>
      </w:r>
      <w:hyperlink r:id="rId9">
        <w:r w:rsidRPr="00C7410A">
          <w:rPr>
            <w:rFonts w:ascii="Times New Roman" w:eastAsia="Times New Roman" w:hAnsi="Times New Roman" w:cs="Times New Roman"/>
            <w:color w:val="1155CC"/>
            <w:sz w:val="24"/>
            <w:szCs w:val="24"/>
            <w:highlight w:val="white"/>
            <w:u w:val="single"/>
            <w:lang w:val="en-GB"/>
          </w:rPr>
          <w:t>gmehmeti@ubt.edu.al</w:t>
        </w:r>
      </w:hyperlink>
      <w:r w:rsidRPr="00C7410A">
        <w:rPr>
          <w:rFonts w:ascii="Times New Roman" w:eastAsia="Times New Roman" w:hAnsi="Times New Roman" w:cs="Times New Roman"/>
          <w:color w:val="000000"/>
          <w:sz w:val="24"/>
          <w:szCs w:val="24"/>
          <w:highlight w:val="white"/>
          <w:lang w:val="en-GB"/>
        </w:rPr>
        <w:t xml:space="preserve"> </w:t>
      </w:r>
      <w:r w:rsidRPr="00C7410A">
        <w:rPr>
          <w:rFonts w:ascii="Times New Roman" w:eastAsia="Times New Roman" w:hAnsi="Times New Roman" w:cs="Times New Roman"/>
          <w:sz w:val="24"/>
          <w:szCs w:val="24"/>
          <w:lang w:val="en-GB"/>
        </w:rPr>
        <w:t xml:space="preserve"> </w:t>
      </w:r>
    </w:p>
    <w:p w14:paraId="156912E5" w14:textId="77777777" w:rsidR="00C7410A" w:rsidRPr="00C7410A" w:rsidRDefault="00C7410A" w:rsidP="00C7410A">
      <w:pPr>
        <w:spacing w:after="120" w:line="240" w:lineRule="auto"/>
        <w:rPr>
          <w:rFonts w:ascii="Times New Roman" w:eastAsia="Times New Roman" w:hAnsi="Times New Roman" w:cs="Times New Roman"/>
          <w:b/>
          <w:color w:val="000000"/>
          <w:sz w:val="24"/>
          <w:szCs w:val="24"/>
          <w:highlight w:val="white"/>
          <w:lang w:val="en-GB"/>
        </w:rPr>
      </w:pPr>
    </w:p>
    <w:p w14:paraId="7B06A405" w14:textId="77777777" w:rsidR="00C7410A" w:rsidRPr="00C7410A" w:rsidRDefault="00C7410A" w:rsidP="00C7410A">
      <w:pPr>
        <w:spacing w:after="120" w:line="240" w:lineRule="auto"/>
        <w:jc w:val="center"/>
        <w:rPr>
          <w:rFonts w:ascii="Times New Roman" w:eastAsia="Times New Roman" w:hAnsi="Times New Roman" w:cs="Times New Roman"/>
          <w:sz w:val="24"/>
          <w:szCs w:val="24"/>
          <w:lang w:val="en-GB"/>
        </w:rPr>
      </w:pPr>
      <w:r w:rsidRPr="00C7410A">
        <w:rPr>
          <w:rFonts w:ascii="Times New Roman" w:eastAsia="Times New Roman" w:hAnsi="Times New Roman" w:cs="Times New Roman"/>
          <w:b/>
          <w:color w:val="000000"/>
          <w:sz w:val="24"/>
          <w:szCs w:val="24"/>
          <w:highlight w:val="white"/>
          <w:lang w:val="en-GB"/>
        </w:rPr>
        <w:t>Drini Imami</w:t>
      </w:r>
    </w:p>
    <w:p w14:paraId="48CF42EF" w14:textId="77777777" w:rsidR="00C7410A" w:rsidRPr="00C7410A" w:rsidRDefault="00C7410A" w:rsidP="00C7410A">
      <w:pPr>
        <w:spacing w:after="0" w:line="240" w:lineRule="auto"/>
        <w:jc w:val="center"/>
        <w:rPr>
          <w:rFonts w:ascii="Times New Roman" w:eastAsia="Times New Roman" w:hAnsi="Times New Roman" w:cs="Times New Roman"/>
          <w:color w:val="000000"/>
          <w:sz w:val="24"/>
          <w:szCs w:val="24"/>
          <w:highlight w:val="white"/>
          <w:lang w:val="en-GB"/>
        </w:rPr>
      </w:pPr>
      <w:r w:rsidRPr="00C7410A">
        <w:rPr>
          <w:rFonts w:ascii="Times New Roman" w:eastAsia="Times New Roman" w:hAnsi="Times New Roman" w:cs="Times New Roman"/>
          <w:color w:val="000000"/>
          <w:sz w:val="24"/>
          <w:szCs w:val="24"/>
          <w:highlight w:val="white"/>
          <w:lang w:val="en-GB"/>
        </w:rPr>
        <w:t>Faculty of Economics and Agribusiness, Agriculture University of Tirana, Tirana, Albania.</w:t>
      </w:r>
    </w:p>
    <w:p w14:paraId="5247B30C" w14:textId="77777777" w:rsidR="00C7410A" w:rsidRPr="00C7410A" w:rsidRDefault="00C7410A" w:rsidP="00C7410A">
      <w:pPr>
        <w:spacing w:after="120" w:line="240" w:lineRule="auto"/>
        <w:jc w:val="center"/>
        <w:rPr>
          <w:rFonts w:ascii="Times New Roman" w:eastAsia="Times New Roman" w:hAnsi="Times New Roman" w:cs="Times New Roman"/>
          <w:sz w:val="24"/>
          <w:szCs w:val="24"/>
          <w:lang w:val="en-GB"/>
        </w:rPr>
      </w:pPr>
      <w:r w:rsidRPr="00C7410A">
        <w:rPr>
          <w:rFonts w:ascii="Times New Roman" w:eastAsia="Times New Roman" w:hAnsi="Times New Roman" w:cs="Times New Roman"/>
          <w:color w:val="000000"/>
          <w:sz w:val="24"/>
          <w:szCs w:val="24"/>
          <w:highlight w:val="white"/>
          <w:lang w:val="en-GB"/>
        </w:rPr>
        <w:t xml:space="preserve">E-mail: </w:t>
      </w:r>
      <w:hyperlink r:id="rId10">
        <w:r w:rsidRPr="00C7410A">
          <w:rPr>
            <w:rFonts w:ascii="Times New Roman" w:eastAsia="Times New Roman" w:hAnsi="Times New Roman" w:cs="Times New Roman"/>
            <w:color w:val="0000FF"/>
            <w:sz w:val="24"/>
            <w:szCs w:val="24"/>
            <w:highlight w:val="white"/>
            <w:u w:val="single"/>
            <w:lang w:val="en-GB"/>
          </w:rPr>
          <w:t>dimami@ubt.edu.al</w:t>
        </w:r>
      </w:hyperlink>
    </w:p>
    <w:p w14:paraId="23ACC69A" w14:textId="77777777" w:rsidR="00C7410A" w:rsidRPr="00C7410A" w:rsidRDefault="00C7410A" w:rsidP="00C7410A">
      <w:pPr>
        <w:spacing w:after="120" w:line="240" w:lineRule="auto"/>
        <w:jc w:val="center"/>
        <w:rPr>
          <w:rFonts w:ascii="Times New Roman" w:eastAsia="Times New Roman" w:hAnsi="Times New Roman" w:cs="Times New Roman"/>
          <w:b/>
          <w:color w:val="000000"/>
          <w:sz w:val="24"/>
          <w:szCs w:val="24"/>
          <w:highlight w:val="white"/>
          <w:lang w:val="en-GB"/>
        </w:rPr>
      </w:pPr>
    </w:p>
    <w:p w14:paraId="364BC35C" w14:textId="77777777" w:rsidR="00C7410A" w:rsidRPr="00C7410A" w:rsidRDefault="00C7410A" w:rsidP="00C7410A">
      <w:pPr>
        <w:spacing w:after="200" w:line="240" w:lineRule="auto"/>
        <w:rPr>
          <w:rFonts w:ascii="Times New Roman" w:eastAsia="Times New Roman" w:hAnsi="Times New Roman" w:cs="Times New Roman"/>
          <w:b/>
          <w:sz w:val="24"/>
          <w:szCs w:val="24"/>
          <w:lang w:val="en-GB"/>
        </w:rPr>
      </w:pPr>
    </w:p>
    <w:p w14:paraId="139269DB" w14:textId="77777777" w:rsidR="00C7410A" w:rsidRPr="00C7410A" w:rsidRDefault="00C7410A" w:rsidP="00C7410A">
      <w:pPr>
        <w:pBdr>
          <w:top w:val="nil"/>
          <w:left w:val="nil"/>
          <w:bottom w:val="nil"/>
          <w:right w:val="nil"/>
          <w:between w:val="nil"/>
        </w:pBdr>
        <w:spacing w:after="200" w:line="240" w:lineRule="auto"/>
        <w:ind w:left="360"/>
        <w:jc w:val="both"/>
        <w:rPr>
          <w:rFonts w:ascii="Times New Roman" w:eastAsia="Times New Roman" w:hAnsi="Times New Roman" w:cs="Times New Roman"/>
          <w:color w:val="000000"/>
          <w:sz w:val="24"/>
          <w:szCs w:val="24"/>
          <w:lang w:val="en-GB"/>
        </w:rPr>
      </w:pPr>
    </w:p>
    <w:p w14:paraId="72F3AA55" w14:textId="77777777" w:rsidR="00C7410A" w:rsidRPr="00C7410A" w:rsidRDefault="00C7410A" w:rsidP="00C7410A">
      <w:pPr>
        <w:spacing w:before="100" w:beforeAutospacing="1" w:after="100" w:afterAutospacing="1" w:line="240" w:lineRule="auto"/>
        <w:outlineLvl w:val="0"/>
        <w:rPr>
          <w:rFonts w:ascii="Times New Roman" w:eastAsia="Times New Roman" w:hAnsi="Times New Roman" w:cs="Times New Roman"/>
          <w:b/>
          <w:bCs/>
          <w:kern w:val="36"/>
          <w:sz w:val="28"/>
          <w:szCs w:val="28"/>
          <w:lang w:val="en-GB"/>
        </w:rPr>
      </w:pPr>
      <w:r w:rsidRPr="00C7410A">
        <w:rPr>
          <w:rFonts w:ascii="Times New Roman" w:eastAsia="Times New Roman" w:hAnsi="Times New Roman" w:cs="Times New Roman"/>
          <w:b/>
          <w:bCs/>
          <w:kern w:val="36"/>
          <w:sz w:val="28"/>
          <w:szCs w:val="28"/>
          <w:lang w:val="en-GB"/>
        </w:rPr>
        <w:t>Abstract</w:t>
      </w:r>
    </w:p>
    <w:p w14:paraId="08DA6C6E" w14:textId="77777777" w:rsidR="00C7410A" w:rsidRPr="00C7410A" w:rsidRDefault="00C7410A">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color w:val="000000"/>
          <w:sz w:val="24"/>
          <w:szCs w:val="24"/>
          <w:lang w:val="en-GB"/>
        </w:rPr>
        <w:t xml:space="preserve">This research provides an understanding of Albanian urban consumer preferences and purchasing behaviour related to cheese focusing on origin, packaging, food safety and certification. This paper, based on a structured consumer survey and analysis, consists of two-step cluster and descriptive statistics. Key socio-demographic variables, namely gender, education, and age, were used as input clustering variables obtaining 5 different clusters. Most consumers across all identified clusters </w:t>
      </w:r>
      <w:r w:rsidRPr="00C7410A">
        <w:rPr>
          <w:rFonts w:ascii="Times New Roman" w:eastAsia="Times New Roman" w:hAnsi="Times New Roman" w:cs="Times New Roman"/>
          <w:sz w:val="24"/>
          <w:szCs w:val="24"/>
          <w:lang w:val="en-GB"/>
        </w:rPr>
        <w:t>prefer</w:t>
      </w:r>
      <w:r w:rsidRPr="00C7410A">
        <w:rPr>
          <w:rFonts w:ascii="Times New Roman" w:eastAsia="Times New Roman" w:hAnsi="Times New Roman" w:cs="Times New Roman"/>
          <w:color w:val="000000"/>
          <w:sz w:val="24"/>
          <w:szCs w:val="24"/>
          <w:lang w:val="en-GB"/>
        </w:rPr>
        <w:t xml:space="preserve"> buying unpacked cheese to packed cheese – consumer clusters with university education are more likely to purchase packed cheese compared to other consumer groups. Consumer clusters with university education also prefer to buy cheese mainly in supermarkets as compared to other clusters that prefer convenience shops. Regarding Hazard Analysis Critical Control Point (HACCP), most consumers are not aware of it – </w:t>
      </w:r>
      <w:r w:rsidRPr="00C7410A">
        <w:rPr>
          <w:rFonts w:ascii="Times New Roman" w:eastAsia="Times New Roman" w:hAnsi="Times New Roman" w:cs="Times New Roman"/>
          <w:sz w:val="24"/>
          <w:szCs w:val="24"/>
          <w:lang w:val="en-GB"/>
        </w:rPr>
        <w:t>consumer</w:t>
      </w:r>
      <w:r w:rsidRPr="00C7410A">
        <w:rPr>
          <w:rFonts w:ascii="Times New Roman" w:eastAsia="Times New Roman" w:hAnsi="Times New Roman" w:cs="Times New Roman"/>
          <w:color w:val="000000"/>
          <w:sz w:val="24"/>
          <w:szCs w:val="24"/>
          <w:lang w:val="en-GB"/>
        </w:rPr>
        <w:t xml:space="preserve"> clusters with university education appear more informed about both HACCP and International Standards Organization (ISO) when compared to other (less educated) consumer clusters). Low trust </w:t>
      </w:r>
      <w:r w:rsidRPr="00C7410A">
        <w:rPr>
          <w:rFonts w:ascii="Times New Roman" w:eastAsia="Times New Roman" w:hAnsi="Times New Roman" w:cs="Times New Roman"/>
          <w:sz w:val="24"/>
          <w:szCs w:val="24"/>
          <w:lang w:val="en-GB"/>
        </w:rPr>
        <w:t xml:space="preserve">in state institutions to guarantee food safety calls for the need to strengthen their capacities, professionalism, and awareness engagement with consumers to improve their perceptions and awareness. </w:t>
      </w:r>
    </w:p>
    <w:p w14:paraId="10689655"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b/>
          <w:sz w:val="24"/>
          <w:szCs w:val="24"/>
          <w:lang w:val="en-GB"/>
        </w:rPr>
        <w:t>Keywords</w:t>
      </w:r>
      <w:r w:rsidRPr="00C7410A">
        <w:rPr>
          <w:rFonts w:ascii="Times New Roman" w:eastAsia="Times New Roman" w:hAnsi="Times New Roman" w:cs="Times New Roman"/>
          <w:sz w:val="24"/>
          <w:szCs w:val="24"/>
          <w:lang w:val="en-GB"/>
        </w:rPr>
        <w:t>: consumer preferences, packaging, cheese, Albania</w:t>
      </w:r>
    </w:p>
    <w:p w14:paraId="5C07A27B" w14:textId="77777777" w:rsidR="00C7410A" w:rsidRPr="00C7410A" w:rsidRDefault="00C7410A" w:rsidP="00F740A7">
      <w:pPr>
        <w:numPr>
          <w:ilvl w:val="0"/>
          <w:numId w:val="1"/>
        </w:numPr>
        <w:spacing w:before="120" w:after="120" w:line="276" w:lineRule="auto"/>
        <w:jc w:val="both"/>
        <w:outlineLvl w:val="0"/>
        <w:rPr>
          <w:rFonts w:ascii="Times New Roman" w:eastAsia="Times New Roman" w:hAnsi="Times New Roman" w:cs="Times New Roman"/>
          <w:b/>
          <w:bCs/>
          <w:kern w:val="36"/>
          <w:sz w:val="24"/>
          <w:szCs w:val="24"/>
          <w:lang w:val="en-GB"/>
        </w:rPr>
      </w:pPr>
      <w:r w:rsidRPr="00C7410A">
        <w:rPr>
          <w:rFonts w:ascii="Times New Roman" w:eastAsia="Times New Roman" w:hAnsi="Times New Roman" w:cs="Times New Roman"/>
          <w:b/>
          <w:bCs/>
          <w:kern w:val="36"/>
          <w:sz w:val="28"/>
          <w:szCs w:val="24"/>
          <w:lang w:val="en-GB"/>
        </w:rPr>
        <w:lastRenderedPageBreak/>
        <w:t>Introduction</w:t>
      </w:r>
      <w:r w:rsidRPr="00C7410A">
        <w:rPr>
          <w:rFonts w:ascii="Times New Roman" w:eastAsia="Times New Roman" w:hAnsi="Times New Roman" w:cs="Times New Roman"/>
          <w:b/>
          <w:bCs/>
          <w:kern w:val="36"/>
          <w:sz w:val="24"/>
          <w:szCs w:val="24"/>
          <w:lang w:val="en-GB"/>
        </w:rPr>
        <w:t xml:space="preserve"> </w:t>
      </w:r>
    </w:p>
    <w:p w14:paraId="2BF120A7" w14:textId="7777777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One of the major concerns among consumers in developing or transition countries, characterised by weak law enforcement systems and limited resources is food safety. The concerns are often more pronounced in the case of livestock products. Dairy and meat products have been considered problematic regarding food safety also in the case of Albania, a post-communist emerging economy, which is also the focus of this paper (Vercuni et al, 2016; Zhllima et al, 2015). </w:t>
      </w:r>
    </w:p>
    <w:p w14:paraId="5C7E6395" w14:textId="7777777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As food safety is a credence attribute, use of cues for inferring safety (and other aspects of quality) is linked to trust. In developed countries with consolidated institutions, consumers tend to trust public institutions and/or supermarket chains to guarantee food safety (Gunert et al, 2021). In the case of countries with a weak institutional framework, such as Albania, the level of trust in public institutions to guarantee food safety may be lower and consumers could trust more in the retailer than in public institutions for guaranteeing food safety. In addition to developing trust in the retailer, when possible, consumers prefer often to buy food directly from producers as a strategy to ensure safety and quality. Consumers’ trust is traditionally directly related to the short value chain (FAO, 2020). According to a recent survey, information about expiry date, domestic origin/local origin, knowing the producer or the brand name are the most frequently used food safety and quality cues for Albanian consumers (Haas et al, 2021). </w:t>
      </w:r>
    </w:p>
    <w:p w14:paraId="77BF3ED1"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As highlighted earlier, livestock products, namely meat and dairy products, are exposed to food safety problems. The problems related to food safety and their perception by consumers for livestock products have been identified by several studies - as a result, food safety has been becoming a factor of increasing importance for consumers (Grunert et al., 2021). </w:t>
      </w:r>
      <w:r w:rsidRPr="00C7410A">
        <w:rPr>
          <w:rFonts w:ascii="Times New Roman" w:eastAsia="Times New Roman" w:hAnsi="Times New Roman" w:cs="Times New Roman"/>
          <w:sz w:val="24"/>
          <w:szCs w:val="24"/>
          <w:lang w:val="en-GB"/>
        </w:rPr>
        <w:t xml:space="preserve">On the other hand, dairy (and meat) products are important elements of the Albanian consumer. </w:t>
      </w:r>
    </w:p>
    <w:p w14:paraId="7ED9C325" w14:textId="77777777" w:rsidR="00C7410A" w:rsidRPr="00C7410A" w:rsidRDefault="00C7410A" w:rsidP="00F740A7">
      <w:pP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sz w:val="24"/>
          <w:szCs w:val="24"/>
          <w:lang w:val="en-GB"/>
        </w:rPr>
        <w:t>This paper analysis the consumer preferences towards key attributes related to the purchase of cheese product in Albania focusing on the e</w:t>
      </w:r>
      <w:r w:rsidRPr="00C7410A">
        <w:rPr>
          <w:rFonts w:ascii="Times New Roman" w:eastAsia="Times New Roman" w:hAnsi="Times New Roman" w:cs="Times New Roman"/>
          <w:color w:val="000000"/>
          <w:sz w:val="24"/>
          <w:szCs w:val="24"/>
          <w:lang w:val="en-GB"/>
        </w:rPr>
        <w:t xml:space="preserve">valuation of Albanian consumer behaviour and preferences for main product attributes such as packaging, place of purchase and origin of the product (domestic or import) and illustrate these preferences according to groups of consumers. </w:t>
      </w:r>
    </w:p>
    <w:p w14:paraId="03205FF3" w14:textId="7777777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The paper is structured as follows: second section consists of the literature review, third section describes the methods, the fourth section shows the results while the last section consists of discussions and conclusions.</w:t>
      </w:r>
    </w:p>
    <w:p w14:paraId="0C0DAA59" w14:textId="7777777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p>
    <w:p w14:paraId="034CCD3D" w14:textId="77777777" w:rsidR="00C7410A" w:rsidRPr="00C7410A" w:rsidRDefault="00C7410A" w:rsidP="00F740A7">
      <w:pPr>
        <w:numPr>
          <w:ilvl w:val="0"/>
          <w:numId w:val="1"/>
        </w:numPr>
        <w:spacing w:before="120" w:after="120" w:line="276" w:lineRule="auto"/>
        <w:jc w:val="both"/>
        <w:rPr>
          <w:rFonts w:ascii="Times New Roman" w:eastAsia="Times New Roman" w:hAnsi="Times New Roman" w:cs="Times New Roman"/>
          <w:b/>
          <w:sz w:val="28"/>
          <w:szCs w:val="24"/>
          <w:lang w:val="en-GB"/>
        </w:rPr>
      </w:pPr>
      <w:r w:rsidRPr="00C7410A">
        <w:rPr>
          <w:rFonts w:ascii="Times New Roman" w:eastAsia="Times New Roman" w:hAnsi="Times New Roman" w:cs="Times New Roman"/>
          <w:b/>
          <w:sz w:val="28"/>
          <w:szCs w:val="24"/>
          <w:lang w:val="en-GB"/>
        </w:rPr>
        <w:t xml:space="preserve">Literature review </w:t>
      </w:r>
    </w:p>
    <w:p w14:paraId="346A4A69" w14:textId="7777777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Consumer purchasing behaviour is a complex process. Consumers are oriented between research, experience and credence characteristics to evaluate the product before purchase, after purchase and the implications this brings (Grunert, 2005). Consumer behaviour regarding the perception of food quality, which applies also to the case of cheese, is related to: taste, effect on health, convenience and characteristics of the way it is produced (Grunert, 2005).</w:t>
      </w:r>
    </w:p>
    <w:p w14:paraId="6CB55DA3" w14:textId="7777777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lastRenderedPageBreak/>
        <w:t>Packaging constitutes one of the most important factors in the decision to purchase products thus becoming an essential aspect of the product purchasing process (Silayoi and Speece, 2004). Packaging creates the first impression (Holmes and Paswan, 2012), as the buyer first comes in contact with the packaging and then with the product itself (Gofman and Moskowitz, 2010). The role of packaging for consumers is becoming the main tool for communication and branding (Rettie and Brewer, 2000). The consumers also use packaging as an indicator of quality. The consumers create a relationship of symmetry between packaging and product quality (Silayoi and Speece, 2004).</w:t>
      </w:r>
    </w:p>
    <w:p w14:paraId="04D628B6" w14:textId="7777777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Cheese can be purchased packaged or unpackaged and this can have an impact on the consumer preference for this product. On one hand visibility or touch of the product can play an important role in its purchase. When consumers are unable to identify the product from the packaging, they can use circumstantial factors that guide their choice such as; colours, shapes, size of objects (Galotti, 1994). A differentiation strategy for cheese product sellers is to present the entire product (uncut cheese wheel) on the counter and leave the seller to cut and roll the cheese at the customer’s request (Colonna et al., 2011). There are fewer studies on the impact of socio-demographic factors on the packaging elements themselves (Baruk and Iwanicka, 2016). According to Baruk and Iwanicka (2016) who studied polish customers, the age, gender and level of education influences the hierarchy of their expectations concerning packaging connected with dairy products. </w:t>
      </w:r>
    </w:p>
    <w:p w14:paraId="26E47036" w14:textId="7777777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Another attribute that can be analysed in the case of food products is the place of their purchase. The place of purchase associated with the purpose of using the product is a factor that must be taken into account when assessing consumer preference. Consumers prefer different grocery stores for a variety of reasons: lack of items, prices and promotional campaigns, time constraints, impulse buying and convenience are some reasons (Skallerud et al., 2009)</w:t>
      </w:r>
    </w:p>
    <w:p w14:paraId="24B193E5" w14:textId="7777777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In terms of cheese type and place of purchase it seems that many consumers are choosing more artisanal and ethnic cheese as part of their daily routine, in part because of its greater exposure (FPCIANR, 2001). But food purchasing patterns differ across countries. According to Yadav and Verma (2015), the Indian consumer perceives that food markets offer lower prices and more shopping benefits compared to conventional stores but are less satisfied with the service provided by them.</w:t>
      </w:r>
    </w:p>
    <w:p w14:paraId="4B838E95" w14:textId="4E1B3738"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Consumer preferences can also be assessed towards the origin. In creating the concept of food quality, aspects such as research, experience, reliability attributes are taken into account (Anderson and Anderson, 1991). Origin can only become an indicator of improved quality if it is the source of origin related to food safety or higher quality (Loureiro and Umberger, 2007). Various researches have been done considering consumer preferences for imported food focused on reliability attributes (Gedikoglua and Parcell, 2014). </w:t>
      </w:r>
      <w:r w:rsidR="00C603A7" w:rsidRPr="00C7410A">
        <w:rPr>
          <w:rFonts w:ascii="Times New Roman" w:eastAsia="Times New Roman" w:hAnsi="Times New Roman" w:cs="Times New Roman"/>
          <w:sz w:val="24"/>
          <w:szCs w:val="24"/>
          <w:lang w:val="en-GB"/>
        </w:rPr>
        <w:t>Also,</w:t>
      </w:r>
      <w:r w:rsidRPr="00C7410A">
        <w:rPr>
          <w:rFonts w:ascii="Times New Roman" w:eastAsia="Times New Roman" w:hAnsi="Times New Roman" w:cs="Times New Roman"/>
          <w:sz w:val="24"/>
          <w:szCs w:val="24"/>
          <w:lang w:val="en-GB"/>
        </w:rPr>
        <w:t xml:space="preserve"> previous research has shown a strong preference of Albanian consumers for domestic cheese (Imami et al, 2016a) while origin is perceived to be linked to (food) safety and quality (Haas et al, 2021).</w:t>
      </w:r>
    </w:p>
    <w:p w14:paraId="1101D488" w14:textId="0E853FE7" w:rsidR="00C7410A" w:rsidRPr="00C7410A" w:rsidRDefault="00C7410A" w:rsidP="00F740A7">
      <w:pP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Food safety is also important. Certification strategies have been developed to improve consumer perception of food safety, with the main objective to transform food safety from a credence </w:t>
      </w:r>
      <w:r w:rsidRPr="00C7410A">
        <w:rPr>
          <w:rFonts w:ascii="Times New Roman" w:eastAsia="Times New Roman" w:hAnsi="Times New Roman" w:cs="Times New Roman"/>
          <w:sz w:val="24"/>
          <w:szCs w:val="24"/>
          <w:lang w:val="en-GB"/>
        </w:rPr>
        <w:lastRenderedPageBreak/>
        <w:t>attribute to a search attribute. However</w:t>
      </w:r>
      <w:r w:rsidR="00F740A7" w:rsidRPr="00C603A7">
        <w:rPr>
          <w:rFonts w:ascii="Times New Roman" w:eastAsia="Times New Roman" w:hAnsi="Times New Roman" w:cs="Times New Roman"/>
          <w:sz w:val="24"/>
          <w:szCs w:val="24"/>
          <w:lang w:val="en-GB"/>
        </w:rPr>
        <w:t>,</w:t>
      </w:r>
      <w:r w:rsidRPr="00C7410A">
        <w:rPr>
          <w:rFonts w:ascii="Times New Roman" w:eastAsia="Times New Roman" w:hAnsi="Times New Roman" w:cs="Times New Roman"/>
          <w:sz w:val="24"/>
          <w:szCs w:val="24"/>
          <w:lang w:val="en-GB"/>
        </w:rPr>
        <w:t xml:space="preserve"> certification has not always achieved or significantly improved food safety perception for some products (Corcoran et al., 2001; Young et al., 2009).  Previous research has found that other attributes are considered more important </w:t>
      </w:r>
      <w:r w:rsidR="00C603A7" w:rsidRPr="00C7410A">
        <w:rPr>
          <w:rFonts w:ascii="Times New Roman" w:eastAsia="Times New Roman" w:hAnsi="Times New Roman" w:cs="Times New Roman"/>
          <w:sz w:val="24"/>
          <w:szCs w:val="24"/>
          <w:lang w:val="en-GB"/>
        </w:rPr>
        <w:t>than</w:t>
      </w:r>
      <w:r w:rsidRPr="00C7410A">
        <w:rPr>
          <w:rFonts w:ascii="Times New Roman" w:eastAsia="Times New Roman" w:hAnsi="Times New Roman" w:cs="Times New Roman"/>
          <w:sz w:val="24"/>
          <w:szCs w:val="24"/>
          <w:lang w:val="en-GB"/>
        </w:rPr>
        <w:t xml:space="preserve"> certification by consumers (Tendero and Bernabe´u, 2005). While brand reputation and certificates (HACCP, ISO 9000) seem to be slightly more important among Albanian consumers (Haas et al., 2021).</w:t>
      </w:r>
    </w:p>
    <w:p w14:paraId="0E431630" w14:textId="77777777" w:rsidR="00C7410A" w:rsidRPr="00C7410A" w:rsidRDefault="00C7410A" w:rsidP="00F740A7">
      <w:pPr>
        <w:numPr>
          <w:ilvl w:val="0"/>
          <w:numId w:val="1"/>
        </w:numPr>
        <w:spacing w:before="280" w:beforeAutospacing="1" w:after="280" w:afterAutospacing="1" w:line="276" w:lineRule="auto"/>
        <w:outlineLvl w:val="0"/>
        <w:rPr>
          <w:rFonts w:ascii="Times New Roman" w:eastAsia="Times New Roman" w:hAnsi="Times New Roman" w:cs="Times New Roman"/>
          <w:b/>
          <w:bCs/>
          <w:kern w:val="36"/>
          <w:sz w:val="28"/>
          <w:szCs w:val="28"/>
          <w:lang w:val="en-GB"/>
        </w:rPr>
      </w:pPr>
      <w:r w:rsidRPr="00C7410A">
        <w:rPr>
          <w:rFonts w:ascii="Times New Roman" w:eastAsia="Times New Roman" w:hAnsi="Times New Roman" w:cs="Times New Roman"/>
          <w:b/>
          <w:bCs/>
          <w:kern w:val="36"/>
          <w:sz w:val="28"/>
          <w:szCs w:val="28"/>
          <w:lang w:val="en-GB"/>
        </w:rPr>
        <w:t xml:space="preserve">Data and methods </w:t>
      </w:r>
    </w:p>
    <w:p w14:paraId="3EB6EC6E" w14:textId="77777777" w:rsidR="00C7410A" w:rsidRPr="00561FC0" w:rsidRDefault="00C7410A" w:rsidP="00F740A7">
      <w:pPr>
        <w:keepNext/>
        <w:keepLines/>
        <w:spacing w:before="120" w:after="120" w:line="276" w:lineRule="auto"/>
        <w:outlineLvl w:val="1"/>
        <w:rPr>
          <w:rFonts w:ascii="Times New Roman" w:eastAsia="Times New Roman" w:hAnsi="Times New Roman" w:cs="Times New Roman"/>
          <w:b/>
          <w:bCs/>
          <w:sz w:val="24"/>
          <w:szCs w:val="24"/>
          <w:lang w:val="en-GB"/>
        </w:rPr>
      </w:pPr>
      <w:r w:rsidRPr="00561FC0">
        <w:rPr>
          <w:rFonts w:ascii="Times New Roman" w:eastAsia="Times New Roman" w:hAnsi="Times New Roman" w:cs="Times New Roman"/>
          <w:b/>
          <w:bCs/>
          <w:sz w:val="24"/>
          <w:szCs w:val="24"/>
          <w:lang w:val="en-GB"/>
        </w:rPr>
        <w:t>Sampling</w:t>
      </w:r>
    </w:p>
    <w:p w14:paraId="0A990C42"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This study was conducted with face-to-face interviews, administered on a sample of consumers in the urban area of Tirana, the largest urban area and market in Albania. Data collection took place during November 2012. A total of 220 face-to-face interviews were administered, but 20 questionnaires were excluded from the analysis due to incomplete responses. </w:t>
      </w:r>
    </w:p>
    <w:p w14:paraId="2C7800B7"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The locations were selected based on previously conducted focus groups, where two different and highly frequented locations, with many different types of consumers, were suggested for the study. In the selected sites, interviews were conducted by trained students. The participants were recruited by a mall-intercept sampling procedure. People were approached randomly, and subsequent to the completion of each face-to-face interview, interviewers approach the next closest passer-by.</w:t>
      </w:r>
    </w:p>
    <w:p w14:paraId="12C043ED"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Table 1 below provides data on key socio-demographic variables from sample and population. Overall, the sample structure is similar to the population structure both in terms of gender and age. </w:t>
      </w:r>
    </w:p>
    <w:p w14:paraId="74FA8D99" w14:textId="77777777" w:rsidR="00C7410A" w:rsidRPr="00C7410A" w:rsidRDefault="00C7410A" w:rsidP="00F740A7">
      <w:pPr>
        <w:spacing w:after="20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b/>
          <w:sz w:val="24"/>
          <w:szCs w:val="24"/>
          <w:lang w:val="en-GB"/>
        </w:rPr>
        <w:t>Table 1</w:t>
      </w:r>
      <w:r w:rsidRPr="00C7410A">
        <w:rPr>
          <w:rFonts w:ascii="Times New Roman" w:eastAsia="Times New Roman" w:hAnsi="Times New Roman" w:cs="Times New Roman"/>
          <w:sz w:val="24"/>
          <w:szCs w:val="24"/>
          <w:lang w:val="en-GB"/>
        </w:rPr>
        <w:t xml:space="preserve">: Socio demographic Comparison of Survey Respondents with Tirana’s Population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00"/>
        <w:gridCol w:w="2341"/>
        <w:gridCol w:w="2625"/>
        <w:gridCol w:w="2384"/>
      </w:tblGrid>
      <w:tr w:rsidR="00C7410A" w:rsidRPr="00C7410A" w14:paraId="3B0AD184" w14:textId="77777777" w:rsidTr="00F35B58">
        <w:trPr>
          <w:trHeight w:val="484"/>
        </w:trPr>
        <w:tc>
          <w:tcPr>
            <w:tcW w:w="2321" w:type="pct"/>
            <w:gridSpan w:val="2"/>
            <w:shd w:val="clear" w:color="auto" w:fill="auto"/>
          </w:tcPr>
          <w:p w14:paraId="4B1710C1" w14:textId="77777777" w:rsidR="00C7410A" w:rsidRPr="00C7410A" w:rsidRDefault="00C7410A" w:rsidP="00F740A7">
            <w:pPr>
              <w:spacing w:after="0" w:line="276" w:lineRule="auto"/>
              <w:jc w:val="center"/>
              <w:rPr>
                <w:rFonts w:ascii="Times New Roman" w:eastAsia="Times New Roman" w:hAnsi="Times New Roman" w:cs="Times New Roman"/>
                <w:b/>
                <w:color w:val="000000"/>
                <w:lang w:val="en-GB"/>
              </w:rPr>
            </w:pPr>
            <w:r w:rsidRPr="00C7410A">
              <w:rPr>
                <w:rFonts w:ascii="Times New Roman" w:eastAsia="Times New Roman" w:hAnsi="Times New Roman" w:cs="Times New Roman"/>
                <w:b/>
                <w:color w:val="000000"/>
                <w:lang w:val="en-GB"/>
              </w:rPr>
              <w:t>Indicator</w:t>
            </w:r>
          </w:p>
          <w:p w14:paraId="4EEAA4CA" w14:textId="77777777" w:rsidR="00C7410A" w:rsidRPr="00C7410A" w:rsidRDefault="00C7410A" w:rsidP="00F740A7">
            <w:pPr>
              <w:spacing w:after="0" w:line="276" w:lineRule="auto"/>
              <w:jc w:val="center"/>
              <w:rPr>
                <w:rFonts w:ascii="Times New Roman" w:eastAsia="Times New Roman" w:hAnsi="Times New Roman" w:cs="Times New Roman"/>
                <w:b/>
                <w:color w:val="000000"/>
                <w:lang w:val="en-GB"/>
              </w:rPr>
            </w:pPr>
          </w:p>
        </w:tc>
        <w:tc>
          <w:tcPr>
            <w:tcW w:w="1404" w:type="pct"/>
            <w:shd w:val="clear" w:color="auto" w:fill="auto"/>
          </w:tcPr>
          <w:p w14:paraId="1AC0A9B5" w14:textId="77777777" w:rsidR="00C7410A" w:rsidRPr="00C7410A" w:rsidRDefault="00C7410A" w:rsidP="00F740A7">
            <w:pPr>
              <w:spacing w:after="0" w:line="276" w:lineRule="auto"/>
              <w:rPr>
                <w:rFonts w:ascii="Times New Roman" w:eastAsia="Times New Roman" w:hAnsi="Times New Roman" w:cs="Times New Roman"/>
                <w:b/>
                <w:color w:val="000000"/>
                <w:lang w:val="en-GB"/>
              </w:rPr>
            </w:pPr>
            <w:r w:rsidRPr="00C7410A">
              <w:rPr>
                <w:rFonts w:ascii="Times New Roman" w:eastAsia="Times New Roman" w:hAnsi="Times New Roman" w:cs="Times New Roman"/>
                <w:b/>
                <w:color w:val="000000"/>
                <w:lang w:val="en-GB"/>
              </w:rPr>
              <w:t>Survey respondents</w:t>
            </w:r>
          </w:p>
        </w:tc>
        <w:tc>
          <w:tcPr>
            <w:tcW w:w="1276" w:type="pct"/>
            <w:shd w:val="clear" w:color="auto" w:fill="auto"/>
          </w:tcPr>
          <w:p w14:paraId="6C3B53CD" w14:textId="77777777" w:rsidR="00C7410A" w:rsidRPr="00C7410A" w:rsidRDefault="00C7410A" w:rsidP="00F740A7">
            <w:pPr>
              <w:spacing w:after="0" w:line="276" w:lineRule="auto"/>
              <w:rPr>
                <w:rFonts w:ascii="Times New Roman" w:eastAsia="Times New Roman" w:hAnsi="Times New Roman" w:cs="Times New Roman"/>
                <w:b/>
                <w:color w:val="000000"/>
                <w:lang w:val="en-GB"/>
              </w:rPr>
            </w:pPr>
            <w:r w:rsidRPr="00C7410A">
              <w:rPr>
                <w:rFonts w:ascii="Times New Roman" w:eastAsia="Times New Roman" w:hAnsi="Times New Roman" w:cs="Times New Roman"/>
                <w:b/>
                <w:color w:val="000000"/>
                <w:lang w:val="en-GB"/>
              </w:rPr>
              <w:t>Tirana population</w:t>
            </w:r>
          </w:p>
        </w:tc>
      </w:tr>
      <w:tr w:rsidR="00C7410A" w:rsidRPr="00C7410A" w14:paraId="08FB18C4" w14:textId="77777777" w:rsidTr="00F35B58">
        <w:trPr>
          <w:trHeight w:val="288"/>
        </w:trPr>
        <w:tc>
          <w:tcPr>
            <w:tcW w:w="1069" w:type="pct"/>
            <w:vMerge w:val="restart"/>
          </w:tcPr>
          <w:p w14:paraId="29147A1D"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Gender</w:t>
            </w:r>
          </w:p>
          <w:p w14:paraId="119D771D"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 </w:t>
            </w:r>
          </w:p>
        </w:tc>
        <w:tc>
          <w:tcPr>
            <w:tcW w:w="1252" w:type="pct"/>
          </w:tcPr>
          <w:p w14:paraId="60EF5F70"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Male</w:t>
            </w:r>
          </w:p>
        </w:tc>
        <w:tc>
          <w:tcPr>
            <w:tcW w:w="1404" w:type="pct"/>
          </w:tcPr>
          <w:p w14:paraId="5A2D259A"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53.0%</w:t>
            </w:r>
          </w:p>
        </w:tc>
        <w:tc>
          <w:tcPr>
            <w:tcW w:w="1276" w:type="pct"/>
          </w:tcPr>
          <w:p w14:paraId="11085D97"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50.1%</w:t>
            </w:r>
          </w:p>
        </w:tc>
      </w:tr>
      <w:tr w:rsidR="00C7410A" w:rsidRPr="00C7410A" w14:paraId="5BC89767" w14:textId="77777777" w:rsidTr="00F35B58">
        <w:trPr>
          <w:trHeight w:val="288"/>
        </w:trPr>
        <w:tc>
          <w:tcPr>
            <w:tcW w:w="1069" w:type="pct"/>
            <w:vMerge/>
          </w:tcPr>
          <w:p w14:paraId="23F1BF71"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c>
          <w:tcPr>
            <w:tcW w:w="1252" w:type="pct"/>
            <w:vAlign w:val="center"/>
          </w:tcPr>
          <w:p w14:paraId="0C4A1A49"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Female</w:t>
            </w:r>
          </w:p>
        </w:tc>
        <w:tc>
          <w:tcPr>
            <w:tcW w:w="1404" w:type="pct"/>
            <w:vAlign w:val="center"/>
          </w:tcPr>
          <w:p w14:paraId="11DF19E5"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47.0%</w:t>
            </w:r>
          </w:p>
        </w:tc>
        <w:tc>
          <w:tcPr>
            <w:tcW w:w="1276" w:type="pct"/>
            <w:vAlign w:val="center"/>
          </w:tcPr>
          <w:p w14:paraId="36F12296"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49.9%</w:t>
            </w:r>
          </w:p>
        </w:tc>
      </w:tr>
      <w:tr w:rsidR="00C7410A" w:rsidRPr="00C7410A" w14:paraId="795A9C11" w14:textId="77777777" w:rsidTr="00F35B58">
        <w:trPr>
          <w:trHeight w:val="163"/>
        </w:trPr>
        <w:tc>
          <w:tcPr>
            <w:tcW w:w="5000" w:type="pct"/>
            <w:gridSpan w:val="4"/>
            <w:vAlign w:val="center"/>
          </w:tcPr>
          <w:p w14:paraId="39652C20"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 </w:t>
            </w:r>
          </w:p>
        </w:tc>
      </w:tr>
      <w:tr w:rsidR="00C7410A" w:rsidRPr="00C7410A" w14:paraId="648EA350" w14:textId="77777777" w:rsidTr="00F35B58">
        <w:trPr>
          <w:trHeight w:val="274"/>
        </w:trPr>
        <w:tc>
          <w:tcPr>
            <w:tcW w:w="1069" w:type="pct"/>
            <w:vMerge w:val="restart"/>
          </w:tcPr>
          <w:p w14:paraId="24222D37"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Age</w:t>
            </w:r>
          </w:p>
        </w:tc>
        <w:tc>
          <w:tcPr>
            <w:tcW w:w="1252" w:type="pct"/>
            <w:vAlign w:val="center"/>
          </w:tcPr>
          <w:p w14:paraId="4E2D6654"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18-24</w:t>
            </w:r>
          </w:p>
        </w:tc>
        <w:tc>
          <w:tcPr>
            <w:tcW w:w="1404" w:type="pct"/>
            <w:vAlign w:val="center"/>
          </w:tcPr>
          <w:p w14:paraId="3EBB8C11"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19%</w:t>
            </w:r>
          </w:p>
        </w:tc>
        <w:tc>
          <w:tcPr>
            <w:tcW w:w="1276" w:type="pct"/>
            <w:vAlign w:val="center"/>
          </w:tcPr>
          <w:p w14:paraId="3BF94310"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20.6%</w:t>
            </w:r>
          </w:p>
        </w:tc>
      </w:tr>
      <w:tr w:rsidR="00C7410A" w:rsidRPr="00C7410A" w14:paraId="44043CCC" w14:textId="77777777" w:rsidTr="00F35B58">
        <w:trPr>
          <w:trHeight w:val="274"/>
        </w:trPr>
        <w:tc>
          <w:tcPr>
            <w:tcW w:w="1069" w:type="pct"/>
            <w:vMerge/>
          </w:tcPr>
          <w:p w14:paraId="4F1C207C"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c>
          <w:tcPr>
            <w:tcW w:w="1252" w:type="pct"/>
            <w:vAlign w:val="center"/>
          </w:tcPr>
          <w:p w14:paraId="05170885"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31-35</w:t>
            </w:r>
          </w:p>
        </w:tc>
        <w:tc>
          <w:tcPr>
            <w:tcW w:w="1404" w:type="pct"/>
            <w:vAlign w:val="center"/>
          </w:tcPr>
          <w:p w14:paraId="5FAE9721"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7.5%</w:t>
            </w:r>
          </w:p>
        </w:tc>
        <w:tc>
          <w:tcPr>
            <w:tcW w:w="1276" w:type="pct"/>
            <w:vAlign w:val="center"/>
          </w:tcPr>
          <w:p w14:paraId="47E8AB66"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10.7%</w:t>
            </w:r>
          </w:p>
        </w:tc>
      </w:tr>
      <w:tr w:rsidR="00C7410A" w:rsidRPr="00C7410A" w14:paraId="1773C644" w14:textId="77777777" w:rsidTr="00F35B58">
        <w:trPr>
          <w:trHeight w:val="274"/>
        </w:trPr>
        <w:tc>
          <w:tcPr>
            <w:tcW w:w="1069" w:type="pct"/>
            <w:vMerge/>
          </w:tcPr>
          <w:p w14:paraId="719D48A8"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c>
          <w:tcPr>
            <w:tcW w:w="1252" w:type="pct"/>
            <w:vAlign w:val="center"/>
          </w:tcPr>
          <w:p w14:paraId="39F93A1C"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36-40</w:t>
            </w:r>
          </w:p>
        </w:tc>
        <w:tc>
          <w:tcPr>
            <w:tcW w:w="1404" w:type="pct"/>
            <w:vAlign w:val="center"/>
          </w:tcPr>
          <w:p w14:paraId="29371F5C"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12.5%</w:t>
            </w:r>
          </w:p>
        </w:tc>
        <w:tc>
          <w:tcPr>
            <w:tcW w:w="1276" w:type="pct"/>
            <w:vAlign w:val="center"/>
          </w:tcPr>
          <w:p w14:paraId="42BAE86F"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11.4%</w:t>
            </w:r>
          </w:p>
        </w:tc>
      </w:tr>
      <w:tr w:rsidR="00C7410A" w:rsidRPr="00C7410A" w14:paraId="0152B946" w14:textId="77777777" w:rsidTr="00F35B58">
        <w:trPr>
          <w:trHeight w:val="288"/>
        </w:trPr>
        <w:tc>
          <w:tcPr>
            <w:tcW w:w="1069" w:type="pct"/>
            <w:vMerge/>
          </w:tcPr>
          <w:p w14:paraId="4F89CD4F"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c>
          <w:tcPr>
            <w:tcW w:w="1252" w:type="pct"/>
            <w:vAlign w:val="center"/>
          </w:tcPr>
          <w:p w14:paraId="749628C9"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41-45</w:t>
            </w:r>
          </w:p>
        </w:tc>
        <w:tc>
          <w:tcPr>
            <w:tcW w:w="1404" w:type="pct"/>
            <w:vAlign w:val="center"/>
          </w:tcPr>
          <w:p w14:paraId="3FA7A619"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9.0%</w:t>
            </w:r>
          </w:p>
        </w:tc>
        <w:tc>
          <w:tcPr>
            <w:tcW w:w="1276" w:type="pct"/>
            <w:vAlign w:val="center"/>
          </w:tcPr>
          <w:p w14:paraId="1D9BE952"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11.8%</w:t>
            </w:r>
          </w:p>
        </w:tc>
      </w:tr>
      <w:tr w:rsidR="00C7410A" w:rsidRPr="00C7410A" w14:paraId="0EF5A383" w14:textId="77777777" w:rsidTr="00F35B58">
        <w:trPr>
          <w:trHeight w:val="274"/>
        </w:trPr>
        <w:tc>
          <w:tcPr>
            <w:tcW w:w="1069" w:type="pct"/>
            <w:vMerge/>
          </w:tcPr>
          <w:p w14:paraId="5D9A54AC"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c>
          <w:tcPr>
            <w:tcW w:w="1252" w:type="pct"/>
            <w:vAlign w:val="center"/>
          </w:tcPr>
          <w:p w14:paraId="04AF24B4"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46-50</w:t>
            </w:r>
          </w:p>
        </w:tc>
        <w:tc>
          <w:tcPr>
            <w:tcW w:w="1404" w:type="pct"/>
            <w:vAlign w:val="center"/>
          </w:tcPr>
          <w:p w14:paraId="4E1FC0A4"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14.5%</w:t>
            </w:r>
          </w:p>
        </w:tc>
        <w:tc>
          <w:tcPr>
            <w:tcW w:w="1276" w:type="pct"/>
            <w:vAlign w:val="center"/>
          </w:tcPr>
          <w:p w14:paraId="332E36B6"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10.5%</w:t>
            </w:r>
          </w:p>
        </w:tc>
      </w:tr>
      <w:tr w:rsidR="00C7410A" w:rsidRPr="00C7410A" w14:paraId="2C9E06CE" w14:textId="77777777" w:rsidTr="00F35B58">
        <w:trPr>
          <w:trHeight w:val="274"/>
        </w:trPr>
        <w:tc>
          <w:tcPr>
            <w:tcW w:w="1069" w:type="pct"/>
            <w:vMerge/>
          </w:tcPr>
          <w:p w14:paraId="008E7F55"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c>
          <w:tcPr>
            <w:tcW w:w="1252" w:type="pct"/>
            <w:vAlign w:val="center"/>
          </w:tcPr>
          <w:p w14:paraId="75B78FD4"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51-55</w:t>
            </w:r>
          </w:p>
        </w:tc>
        <w:tc>
          <w:tcPr>
            <w:tcW w:w="1404" w:type="pct"/>
            <w:vAlign w:val="center"/>
          </w:tcPr>
          <w:p w14:paraId="1E15C1D0"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13.0%</w:t>
            </w:r>
          </w:p>
        </w:tc>
        <w:tc>
          <w:tcPr>
            <w:tcW w:w="1276" w:type="pct"/>
            <w:vAlign w:val="center"/>
          </w:tcPr>
          <w:p w14:paraId="43B90913"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8.6%</w:t>
            </w:r>
          </w:p>
        </w:tc>
      </w:tr>
      <w:tr w:rsidR="00C7410A" w:rsidRPr="00C7410A" w14:paraId="26F86019" w14:textId="77777777" w:rsidTr="00F35B58">
        <w:trPr>
          <w:trHeight w:val="274"/>
        </w:trPr>
        <w:tc>
          <w:tcPr>
            <w:tcW w:w="1069" w:type="pct"/>
            <w:vMerge/>
          </w:tcPr>
          <w:p w14:paraId="4577CBB3"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c>
          <w:tcPr>
            <w:tcW w:w="1252" w:type="pct"/>
            <w:vAlign w:val="center"/>
          </w:tcPr>
          <w:p w14:paraId="1FCE7B14"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56-60</w:t>
            </w:r>
          </w:p>
        </w:tc>
        <w:tc>
          <w:tcPr>
            <w:tcW w:w="1404" w:type="pct"/>
            <w:vAlign w:val="center"/>
          </w:tcPr>
          <w:p w14:paraId="4F547B11"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8.5%</w:t>
            </w:r>
          </w:p>
        </w:tc>
        <w:tc>
          <w:tcPr>
            <w:tcW w:w="1276" w:type="pct"/>
            <w:vAlign w:val="center"/>
          </w:tcPr>
          <w:p w14:paraId="77021BFB"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6.7%</w:t>
            </w:r>
          </w:p>
        </w:tc>
      </w:tr>
      <w:tr w:rsidR="00C7410A" w:rsidRPr="00C7410A" w14:paraId="545BDB50" w14:textId="77777777" w:rsidTr="00F35B58">
        <w:trPr>
          <w:trHeight w:val="274"/>
        </w:trPr>
        <w:tc>
          <w:tcPr>
            <w:tcW w:w="1069" w:type="pct"/>
            <w:vMerge/>
          </w:tcPr>
          <w:p w14:paraId="218B78EC"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c>
          <w:tcPr>
            <w:tcW w:w="1252" w:type="pct"/>
            <w:vAlign w:val="center"/>
          </w:tcPr>
          <w:p w14:paraId="7EAAC767"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61-64</w:t>
            </w:r>
          </w:p>
        </w:tc>
        <w:tc>
          <w:tcPr>
            <w:tcW w:w="1404" w:type="pct"/>
            <w:vAlign w:val="center"/>
          </w:tcPr>
          <w:p w14:paraId="78B0BA2B"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7.0%</w:t>
            </w:r>
          </w:p>
        </w:tc>
        <w:tc>
          <w:tcPr>
            <w:tcW w:w="1276" w:type="pct"/>
            <w:vAlign w:val="center"/>
          </w:tcPr>
          <w:p w14:paraId="2EE2F849"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6.5%</w:t>
            </w:r>
          </w:p>
        </w:tc>
      </w:tr>
      <w:tr w:rsidR="00C7410A" w:rsidRPr="00C7410A" w14:paraId="11A3830D" w14:textId="77777777" w:rsidTr="00F35B58">
        <w:trPr>
          <w:trHeight w:val="274"/>
        </w:trPr>
        <w:tc>
          <w:tcPr>
            <w:tcW w:w="1069" w:type="pct"/>
            <w:vMerge/>
          </w:tcPr>
          <w:p w14:paraId="62F98140"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lang w:val="en-GB"/>
              </w:rPr>
            </w:pPr>
          </w:p>
        </w:tc>
        <w:tc>
          <w:tcPr>
            <w:tcW w:w="1252" w:type="pct"/>
          </w:tcPr>
          <w:p w14:paraId="18E05163"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65 and up</w:t>
            </w:r>
          </w:p>
        </w:tc>
        <w:tc>
          <w:tcPr>
            <w:tcW w:w="1404" w:type="pct"/>
          </w:tcPr>
          <w:p w14:paraId="709F1456"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9.0%</w:t>
            </w:r>
          </w:p>
        </w:tc>
        <w:tc>
          <w:tcPr>
            <w:tcW w:w="1276" w:type="pct"/>
          </w:tcPr>
          <w:p w14:paraId="21DC0B20" w14:textId="77777777" w:rsidR="00C7410A" w:rsidRPr="00C7410A" w:rsidRDefault="00C7410A" w:rsidP="00F740A7">
            <w:pPr>
              <w:spacing w:after="0" w:line="276" w:lineRule="auto"/>
              <w:rPr>
                <w:rFonts w:ascii="Times New Roman" w:eastAsia="Times New Roman" w:hAnsi="Times New Roman" w:cs="Times New Roman"/>
                <w:color w:val="000000"/>
                <w:lang w:val="en-GB"/>
              </w:rPr>
            </w:pPr>
            <w:r w:rsidRPr="00C7410A">
              <w:rPr>
                <w:rFonts w:ascii="Times New Roman" w:eastAsia="Times New Roman" w:hAnsi="Times New Roman" w:cs="Times New Roman"/>
                <w:color w:val="000000"/>
                <w:lang w:val="en-GB"/>
              </w:rPr>
              <w:t>13.3%</w:t>
            </w:r>
          </w:p>
        </w:tc>
      </w:tr>
    </w:tbl>
    <w:p w14:paraId="48E73495"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 xml:space="preserve">Source: Field Survey and </w:t>
      </w:r>
      <w:sdt>
        <w:sdtPr>
          <w:rPr>
            <w:rFonts w:ascii="Times New Roman" w:eastAsia="Times New Roman" w:hAnsi="Times New Roman" w:cs="Times New Roman"/>
            <w:sz w:val="24"/>
            <w:szCs w:val="24"/>
            <w:lang w:val="en-GB"/>
          </w:rPr>
          <w:tag w:val="goog_rdk_4"/>
          <w:id w:val="-1579349340"/>
        </w:sdtPr>
        <w:sdtContent/>
      </w:sdt>
      <w:r w:rsidRPr="00C7410A">
        <w:rPr>
          <w:rFonts w:ascii="Times New Roman" w:eastAsia="Times New Roman" w:hAnsi="Times New Roman" w:cs="Times New Roman"/>
          <w:sz w:val="20"/>
          <w:szCs w:val="20"/>
          <w:lang w:val="en-GB"/>
        </w:rPr>
        <w:t>INSTAT (for population)</w:t>
      </w:r>
    </w:p>
    <w:p w14:paraId="68D90E12" w14:textId="77777777" w:rsidR="00C7410A" w:rsidRPr="00C7410A" w:rsidRDefault="00C7410A" w:rsidP="00F740A7">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lang w:val="en-GB"/>
        </w:rPr>
      </w:pPr>
    </w:p>
    <w:p w14:paraId="69FDAF7D" w14:textId="77777777" w:rsidR="00C7410A" w:rsidRPr="00561FC0" w:rsidRDefault="00C7410A" w:rsidP="00F740A7">
      <w:pPr>
        <w:keepNext/>
        <w:keepLines/>
        <w:spacing w:before="120" w:after="120" w:line="276" w:lineRule="auto"/>
        <w:outlineLvl w:val="1"/>
        <w:rPr>
          <w:rFonts w:ascii="Times New Roman" w:eastAsia="Times New Roman" w:hAnsi="Times New Roman" w:cs="Times New Roman"/>
          <w:b/>
          <w:bCs/>
          <w:sz w:val="24"/>
          <w:szCs w:val="24"/>
          <w:lang w:val="en-GB"/>
        </w:rPr>
      </w:pPr>
      <w:r w:rsidRPr="00561FC0">
        <w:rPr>
          <w:rFonts w:ascii="Times New Roman" w:eastAsia="Times New Roman" w:hAnsi="Times New Roman" w:cs="Times New Roman"/>
          <w:b/>
          <w:bCs/>
          <w:sz w:val="24"/>
          <w:szCs w:val="24"/>
          <w:lang w:val="en-GB"/>
        </w:rPr>
        <w:lastRenderedPageBreak/>
        <w:t>Two-step cluster approach</w:t>
      </w:r>
    </w:p>
    <w:p w14:paraId="44423E47"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The consumer sample was classified through a two-step clustering technique, based on key socio-demographic variables utilised as input factors. Two-step cluster has been applied in many consumer studies – this approach has also been applied in previous studies on Albanian consumers related to preference for meat, olive oil and organic food  </w:t>
      </w:r>
      <w:sdt>
        <w:sdtPr>
          <w:rPr>
            <w:rFonts w:ascii="Times New Roman" w:eastAsia="Times New Roman" w:hAnsi="Times New Roman" w:cs="Times New Roman"/>
            <w:sz w:val="24"/>
            <w:szCs w:val="24"/>
            <w:lang w:val="en-GB"/>
          </w:rPr>
          <w:tag w:val="goog_rdk_3"/>
          <w:id w:val="488530629"/>
        </w:sdtPr>
        <w:sdtContent/>
      </w:sdt>
      <w:r w:rsidRPr="00C7410A">
        <w:rPr>
          <w:rFonts w:ascii="Times New Roman" w:eastAsia="Times New Roman" w:hAnsi="Times New Roman" w:cs="Times New Roman"/>
          <w:color w:val="000000"/>
          <w:sz w:val="24"/>
          <w:szCs w:val="24"/>
          <w:lang w:val="en-GB"/>
        </w:rPr>
        <w:t xml:space="preserve">(Imami et al, 2013; 2017, Zhllima et al, 2017). </w:t>
      </w:r>
    </w:p>
    <w:p w14:paraId="3C5C0AE7"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The two-step cluster analysis (SPSS statistical package) is an exploratory and unsupervised multivariate data analysis technique, which allows for the clustering of large data sets that considers both continuous and categorical variables in the same clustering procedure (Chiu et al 2001). This method is based on a probabilistic approach, in which the clustering algorithm utilises a likelihood distance measure as the similarity criterion, and the most suitable number of clusters is chosen on the basis of Schwarz's Bayesian inference criterion (BIC). The main advantage of this clustering procedure is that the influence of researcher’s subjectivity is reduced and the randomness of traditional clustering techniques is avoided (Norusis, 2003). </w:t>
      </w:r>
    </w:p>
    <w:p w14:paraId="321B02FB" w14:textId="77777777" w:rsidR="00C7410A" w:rsidRPr="00C7410A" w:rsidRDefault="00C7410A" w:rsidP="00F740A7">
      <w:pPr>
        <w:numPr>
          <w:ilvl w:val="0"/>
          <w:numId w:val="1"/>
        </w:numPr>
        <w:spacing w:before="100" w:beforeAutospacing="1" w:after="100" w:afterAutospacing="1" w:line="276" w:lineRule="auto"/>
        <w:outlineLvl w:val="0"/>
        <w:rPr>
          <w:rFonts w:ascii="Times New Roman" w:eastAsia="Times New Roman" w:hAnsi="Times New Roman" w:cs="Times New Roman"/>
          <w:b/>
          <w:bCs/>
          <w:kern w:val="36"/>
          <w:sz w:val="28"/>
          <w:szCs w:val="28"/>
          <w:lang w:val="en-GB"/>
        </w:rPr>
      </w:pPr>
      <w:r w:rsidRPr="00C7410A">
        <w:rPr>
          <w:rFonts w:ascii="Times New Roman" w:eastAsia="Times New Roman" w:hAnsi="Times New Roman" w:cs="Times New Roman"/>
          <w:b/>
          <w:bCs/>
          <w:kern w:val="36"/>
          <w:sz w:val="28"/>
          <w:szCs w:val="28"/>
          <w:lang w:val="en-GB"/>
        </w:rPr>
        <w:t xml:space="preserve">Results </w:t>
      </w:r>
    </w:p>
    <w:p w14:paraId="514E2076"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In this section of the analysis, typical socio-demographic variables were utilised as clustering variables, such as gender, education and age. A 5-cluster solution was obtained with a relatively high Silhouette Coefficient (0.6), indicating acceptable clustering for further analysis (Table 5). </w:t>
      </w:r>
    </w:p>
    <w:p w14:paraId="3D40416F"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The following clusters were obtained:</w:t>
      </w:r>
    </w:p>
    <w:p w14:paraId="651B0EBF" w14:textId="77777777" w:rsidR="00C7410A" w:rsidRPr="00C7410A" w:rsidRDefault="00C7410A" w:rsidP="00F740A7">
      <w:pPr>
        <w:pBdr>
          <w:top w:val="nil"/>
          <w:left w:val="nil"/>
          <w:bottom w:val="nil"/>
          <w:right w:val="nil"/>
          <w:between w:val="nil"/>
        </w:pBdr>
        <w:spacing w:before="120" w:after="120" w:line="276" w:lineRule="auto"/>
        <w:ind w:left="283" w:hanging="283"/>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w:t>
      </w:r>
      <w:r w:rsidRPr="00C7410A">
        <w:rPr>
          <w:rFonts w:ascii="Times New Roman" w:eastAsia="Times New Roman" w:hAnsi="Times New Roman" w:cs="Times New Roman"/>
          <w:color w:val="000000"/>
          <w:sz w:val="24"/>
          <w:szCs w:val="24"/>
          <w:lang w:val="en-GB"/>
        </w:rPr>
        <w:tab/>
        <w:t xml:space="preserve">Cluster 1 (MEF - middle-educated female consumers): contributes to 17.5 per cent of the whole sample. It consists of only female consumers with high school education (normally 12-13 years). The average age is 48. </w:t>
      </w:r>
    </w:p>
    <w:p w14:paraId="5A11A3E8" w14:textId="77777777" w:rsidR="00C7410A" w:rsidRPr="00C7410A" w:rsidRDefault="00C7410A" w:rsidP="00F740A7">
      <w:pPr>
        <w:pBdr>
          <w:top w:val="nil"/>
          <w:left w:val="nil"/>
          <w:bottom w:val="nil"/>
          <w:right w:val="nil"/>
          <w:between w:val="nil"/>
        </w:pBdr>
        <w:spacing w:before="120" w:after="120" w:line="276" w:lineRule="auto"/>
        <w:ind w:left="283" w:hanging="283"/>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w:t>
      </w:r>
      <w:r w:rsidRPr="00C7410A">
        <w:rPr>
          <w:rFonts w:ascii="Times New Roman" w:eastAsia="Times New Roman" w:hAnsi="Times New Roman" w:cs="Times New Roman"/>
          <w:color w:val="000000"/>
          <w:sz w:val="24"/>
          <w:szCs w:val="24"/>
          <w:lang w:val="en-GB"/>
        </w:rPr>
        <w:tab/>
        <w:t xml:space="preserve">Cluster 2 (HEF - high-educated female consumers): contributes to 24.5 per cent of the sample.  It consists of only female consumers with university education. The average age is 38. This cluster can be named: “educated female consumers”.  </w:t>
      </w:r>
    </w:p>
    <w:p w14:paraId="71C9D20C" w14:textId="77777777" w:rsidR="00C7410A" w:rsidRPr="00C7410A" w:rsidRDefault="00C7410A" w:rsidP="00F740A7">
      <w:pPr>
        <w:pBdr>
          <w:top w:val="nil"/>
          <w:left w:val="nil"/>
          <w:bottom w:val="nil"/>
          <w:right w:val="nil"/>
          <w:between w:val="nil"/>
        </w:pBdr>
        <w:spacing w:before="120" w:after="120" w:line="276" w:lineRule="auto"/>
        <w:ind w:left="283" w:hanging="283"/>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w:t>
      </w:r>
      <w:r w:rsidRPr="00C7410A">
        <w:rPr>
          <w:rFonts w:ascii="Times New Roman" w:eastAsia="Times New Roman" w:hAnsi="Times New Roman" w:cs="Times New Roman"/>
          <w:color w:val="000000"/>
          <w:sz w:val="24"/>
          <w:szCs w:val="24"/>
          <w:lang w:val="en-GB"/>
        </w:rPr>
        <w:tab/>
        <w:t xml:space="preserve">Cluster 3 (LE - low-education consumers): contributes to 13 per cent of the whole sample. It is different from the other clusters, as both genders are included, 61.5 per cent are males. Most consumers in this cluster (96 per cent) have basic education (typically 8 years of education). The average age is 55. </w:t>
      </w:r>
    </w:p>
    <w:p w14:paraId="668BFD3C" w14:textId="77777777" w:rsidR="00C7410A" w:rsidRPr="00C7410A" w:rsidRDefault="00C7410A" w:rsidP="00F740A7">
      <w:pPr>
        <w:pBdr>
          <w:top w:val="nil"/>
          <w:left w:val="nil"/>
          <w:bottom w:val="nil"/>
          <w:right w:val="nil"/>
          <w:between w:val="nil"/>
        </w:pBdr>
        <w:spacing w:before="120" w:after="120" w:line="276" w:lineRule="auto"/>
        <w:ind w:left="283" w:hanging="283"/>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w:t>
      </w:r>
      <w:r w:rsidRPr="00C7410A">
        <w:rPr>
          <w:rFonts w:ascii="Times New Roman" w:eastAsia="Times New Roman" w:hAnsi="Times New Roman" w:cs="Times New Roman"/>
          <w:color w:val="000000"/>
          <w:sz w:val="24"/>
          <w:szCs w:val="24"/>
          <w:lang w:val="en-GB"/>
        </w:rPr>
        <w:tab/>
        <w:t xml:space="preserve">Cluster 4 (HEM - high-educated male consumers): contributes to 20.5 per cent of the sample.  It consists of only male consumers with university education. The average age is 37. This cluster can be named: “educated male consumers”. </w:t>
      </w:r>
    </w:p>
    <w:p w14:paraId="237ECFC6" w14:textId="77777777" w:rsidR="00C7410A" w:rsidRPr="00C7410A" w:rsidRDefault="00C7410A" w:rsidP="00F740A7">
      <w:pPr>
        <w:pBdr>
          <w:top w:val="nil"/>
          <w:left w:val="nil"/>
          <w:bottom w:val="nil"/>
          <w:right w:val="nil"/>
          <w:between w:val="nil"/>
        </w:pBdr>
        <w:spacing w:before="120" w:after="120" w:line="276" w:lineRule="auto"/>
        <w:ind w:left="283" w:hanging="283"/>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w:t>
      </w:r>
      <w:r w:rsidRPr="00C7410A">
        <w:rPr>
          <w:rFonts w:ascii="Times New Roman" w:eastAsia="Times New Roman" w:hAnsi="Times New Roman" w:cs="Times New Roman"/>
          <w:color w:val="000000"/>
          <w:sz w:val="24"/>
          <w:szCs w:val="24"/>
          <w:lang w:val="en-GB"/>
        </w:rPr>
        <w:tab/>
        <w:t xml:space="preserve">Cluster 5 (MEM - middle-educated male consumers): contributes to 24.5 per cent of the whole sample. It consists of only male consumers with high school education (normally 12-13 years of education). The average age is 48.   </w:t>
      </w:r>
    </w:p>
    <w:p w14:paraId="52F5A4C3" w14:textId="77777777" w:rsidR="00C7410A" w:rsidRPr="00C7410A" w:rsidRDefault="00C7410A" w:rsidP="00F740A7">
      <w:pPr>
        <w:spacing w:after="200" w:line="276" w:lineRule="auto"/>
        <w:rPr>
          <w:rFonts w:ascii="Times New Roman" w:eastAsia="Times New Roman" w:hAnsi="Times New Roman" w:cs="Times New Roman"/>
          <w:sz w:val="24"/>
          <w:szCs w:val="24"/>
          <w:lang w:val="en-GB"/>
        </w:rPr>
      </w:pPr>
      <w:r w:rsidRPr="00C7410A">
        <w:rPr>
          <w:rFonts w:ascii="Times New Roman" w:eastAsia="Times New Roman" w:hAnsi="Times New Roman" w:cs="Times New Roman"/>
          <w:b/>
          <w:sz w:val="24"/>
          <w:szCs w:val="24"/>
          <w:lang w:val="en-GB"/>
        </w:rPr>
        <w:lastRenderedPageBreak/>
        <w:t>Table 2</w:t>
      </w:r>
      <w:r w:rsidRPr="00C7410A">
        <w:rPr>
          <w:rFonts w:ascii="Times New Roman" w:eastAsia="Times New Roman" w:hAnsi="Times New Roman" w:cs="Times New Roman"/>
          <w:sz w:val="24"/>
          <w:szCs w:val="24"/>
          <w:lang w:val="en-GB"/>
        </w:rPr>
        <w:t>: Cluster analysis results, BIC 15, Silhouette Coefficient = 0.6</w:t>
      </w: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5"/>
        <w:gridCol w:w="1605"/>
        <w:gridCol w:w="1606"/>
        <w:gridCol w:w="1606"/>
        <w:gridCol w:w="1608"/>
        <w:gridCol w:w="1608"/>
      </w:tblGrid>
      <w:tr w:rsidR="00C7410A" w:rsidRPr="00C7410A" w14:paraId="25B63E65" w14:textId="77777777" w:rsidTr="00F35B58">
        <w:tc>
          <w:tcPr>
            <w:tcW w:w="1605" w:type="dxa"/>
          </w:tcPr>
          <w:p w14:paraId="34BEB1C5"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Input variable</w:t>
            </w:r>
          </w:p>
        </w:tc>
        <w:tc>
          <w:tcPr>
            <w:tcW w:w="1605" w:type="dxa"/>
          </w:tcPr>
          <w:p w14:paraId="12B69FBF"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Cluster 1 – MEF</w:t>
            </w:r>
          </w:p>
        </w:tc>
        <w:tc>
          <w:tcPr>
            <w:tcW w:w="1606" w:type="dxa"/>
          </w:tcPr>
          <w:p w14:paraId="031B1950"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Cluster 2 – HEF</w:t>
            </w:r>
          </w:p>
        </w:tc>
        <w:tc>
          <w:tcPr>
            <w:tcW w:w="1606" w:type="dxa"/>
          </w:tcPr>
          <w:p w14:paraId="41A6CB02"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Cluster 3 – LE</w:t>
            </w:r>
          </w:p>
        </w:tc>
        <w:tc>
          <w:tcPr>
            <w:tcW w:w="1608" w:type="dxa"/>
          </w:tcPr>
          <w:p w14:paraId="36C6E75E"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Cluster 4 – HEM</w:t>
            </w:r>
          </w:p>
        </w:tc>
        <w:tc>
          <w:tcPr>
            <w:tcW w:w="1608" w:type="dxa"/>
          </w:tcPr>
          <w:p w14:paraId="07A6D140"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Cluster 5 – MEM</w:t>
            </w:r>
          </w:p>
        </w:tc>
      </w:tr>
      <w:tr w:rsidR="00C7410A" w:rsidRPr="00C7410A" w14:paraId="6C8843D1" w14:textId="77777777" w:rsidTr="00F35B58">
        <w:tc>
          <w:tcPr>
            <w:tcW w:w="1605" w:type="dxa"/>
          </w:tcPr>
          <w:p w14:paraId="5B8480BB"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Size</w:t>
            </w:r>
          </w:p>
        </w:tc>
        <w:tc>
          <w:tcPr>
            <w:tcW w:w="1605" w:type="dxa"/>
          </w:tcPr>
          <w:p w14:paraId="054B7030"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17.5% (35)</w:t>
            </w:r>
          </w:p>
        </w:tc>
        <w:tc>
          <w:tcPr>
            <w:tcW w:w="1606" w:type="dxa"/>
          </w:tcPr>
          <w:p w14:paraId="3A1B8448"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24.5% (49)</w:t>
            </w:r>
          </w:p>
        </w:tc>
        <w:tc>
          <w:tcPr>
            <w:tcW w:w="1606" w:type="dxa"/>
          </w:tcPr>
          <w:p w14:paraId="4CAE8364"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13% (26)</w:t>
            </w:r>
          </w:p>
        </w:tc>
        <w:tc>
          <w:tcPr>
            <w:tcW w:w="1608" w:type="dxa"/>
          </w:tcPr>
          <w:p w14:paraId="5DF366DF"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20.5% (41)</w:t>
            </w:r>
          </w:p>
        </w:tc>
        <w:tc>
          <w:tcPr>
            <w:tcW w:w="1608" w:type="dxa"/>
          </w:tcPr>
          <w:p w14:paraId="5DBE6728"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24.5% (49)</w:t>
            </w:r>
          </w:p>
        </w:tc>
      </w:tr>
      <w:tr w:rsidR="00C7410A" w:rsidRPr="00C7410A" w14:paraId="05C4444A" w14:textId="77777777" w:rsidTr="00F35B58">
        <w:tc>
          <w:tcPr>
            <w:tcW w:w="1605" w:type="dxa"/>
          </w:tcPr>
          <w:p w14:paraId="429EA468"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Education</w:t>
            </w:r>
          </w:p>
        </w:tc>
        <w:tc>
          <w:tcPr>
            <w:tcW w:w="1605" w:type="dxa"/>
          </w:tcPr>
          <w:p w14:paraId="5B1610CE"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 xml:space="preserve">High school </w:t>
            </w:r>
          </w:p>
          <w:p w14:paraId="788FA5AB"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100%</w:t>
            </w:r>
          </w:p>
        </w:tc>
        <w:tc>
          <w:tcPr>
            <w:tcW w:w="1606" w:type="dxa"/>
          </w:tcPr>
          <w:p w14:paraId="39D39479"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University 100%</w:t>
            </w:r>
          </w:p>
        </w:tc>
        <w:tc>
          <w:tcPr>
            <w:tcW w:w="1606" w:type="dxa"/>
          </w:tcPr>
          <w:p w14:paraId="04F3A979"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Basic education 96%</w:t>
            </w:r>
          </w:p>
        </w:tc>
        <w:tc>
          <w:tcPr>
            <w:tcW w:w="1608" w:type="dxa"/>
          </w:tcPr>
          <w:p w14:paraId="12B92D53"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University 100%</w:t>
            </w:r>
          </w:p>
        </w:tc>
        <w:tc>
          <w:tcPr>
            <w:tcW w:w="1608" w:type="dxa"/>
          </w:tcPr>
          <w:p w14:paraId="650C7CA0"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 xml:space="preserve">High school </w:t>
            </w:r>
          </w:p>
          <w:p w14:paraId="2B15FE29"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100%</w:t>
            </w:r>
          </w:p>
        </w:tc>
      </w:tr>
      <w:tr w:rsidR="00C7410A" w:rsidRPr="00C7410A" w14:paraId="1BE1C74B" w14:textId="77777777" w:rsidTr="00F35B58">
        <w:tc>
          <w:tcPr>
            <w:tcW w:w="1605" w:type="dxa"/>
          </w:tcPr>
          <w:p w14:paraId="557C72BE"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Gender</w:t>
            </w:r>
          </w:p>
        </w:tc>
        <w:tc>
          <w:tcPr>
            <w:tcW w:w="1605" w:type="dxa"/>
          </w:tcPr>
          <w:p w14:paraId="224AD524"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Female 100%</w:t>
            </w:r>
          </w:p>
        </w:tc>
        <w:tc>
          <w:tcPr>
            <w:tcW w:w="1606" w:type="dxa"/>
          </w:tcPr>
          <w:p w14:paraId="2BDF920F"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Female 100%</w:t>
            </w:r>
          </w:p>
        </w:tc>
        <w:tc>
          <w:tcPr>
            <w:tcW w:w="1606" w:type="dxa"/>
          </w:tcPr>
          <w:p w14:paraId="3AF303F8"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Male 61.5%</w:t>
            </w:r>
          </w:p>
        </w:tc>
        <w:tc>
          <w:tcPr>
            <w:tcW w:w="1608" w:type="dxa"/>
          </w:tcPr>
          <w:p w14:paraId="17EC159E"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Male 100%</w:t>
            </w:r>
          </w:p>
        </w:tc>
        <w:tc>
          <w:tcPr>
            <w:tcW w:w="1608" w:type="dxa"/>
          </w:tcPr>
          <w:p w14:paraId="5705FDAD"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Male 100%</w:t>
            </w:r>
          </w:p>
        </w:tc>
      </w:tr>
      <w:tr w:rsidR="00C7410A" w:rsidRPr="00C7410A" w14:paraId="2CF4AD9F" w14:textId="77777777" w:rsidTr="00F35B58">
        <w:tc>
          <w:tcPr>
            <w:tcW w:w="1605" w:type="dxa"/>
          </w:tcPr>
          <w:p w14:paraId="3FA73BDF"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Age</w:t>
            </w:r>
          </w:p>
        </w:tc>
        <w:tc>
          <w:tcPr>
            <w:tcW w:w="1605" w:type="dxa"/>
          </w:tcPr>
          <w:p w14:paraId="0DB0B9A0"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48</w:t>
            </w:r>
          </w:p>
        </w:tc>
        <w:tc>
          <w:tcPr>
            <w:tcW w:w="1606" w:type="dxa"/>
          </w:tcPr>
          <w:p w14:paraId="4FCDD9E9"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38</w:t>
            </w:r>
          </w:p>
        </w:tc>
        <w:tc>
          <w:tcPr>
            <w:tcW w:w="1606" w:type="dxa"/>
          </w:tcPr>
          <w:p w14:paraId="272D8E9F"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55</w:t>
            </w:r>
          </w:p>
        </w:tc>
        <w:tc>
          <w:tcPr>
            <w:tcW w:w="1608" w:type="dxa"/>
          </w:tcPr>
          <w:p w14:paraId="19C52E79"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37</w:t>
            </w:r>
          </w:p>
        </w:tc>
        <w:tc>
          <w:tcPr>
            <w:tcW w:w="1608" w:type="dxa"/>
          </w:tcPr>
          <w:p w14:paraId="3C94A116"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48</w:t>
            </w:r>
          </w:p>
        </w:tc>
      </w:tr>
    </w:tbl>
    <w:p w14:paraId="41B5846E"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 xml:space="preserve">Source: Field Survey </w:t>
      </w:r>
    </w:p>
    <w:p w14:paraId="6BA6375E" w14:textId="77777777" w:rsidR="00C7410A" w:rsidRPr="00626499" w:rsidRDefault="00C7410A" w:rsidP="00F740A7">
      <w:pPr>
        <w:pBdr>
          <w:top w:val="nil"/>
          <w:left w:val="nil"/>
          <w:bottom w:val="nil"/>
          <w:right w:val="nil"/>
          <w:between w:val="nil"/>
        </w:pBdr>
        <w:spacing w:after="200" w:line="276" w:lineRule="auto"/>
        <w:jc w:val="both"/>
        <w:rPr>
          <w:rFonts w:ascii="Times New Roman" w:eastAsia="Times New Roman" w:hAnsi="Times New Roman" w:cs="Times New Roman"/>
          <w:color w:val="000000"/>
          <w:sz w:val="10"/>
          <w:szCs w:val="10"/>
          <w:lang w:val="en-GB"/>
        </w:rPr>
      </w:pPr>
    </w:p>
    <w:p w14:paraId="62A6EEF5"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The identified consumer segments/classes were further subject to assess differences in perceptions or behaviour applying Pearson’s Chi-Square.</w:t>
      </w:r>
    </w:p>
    <w:p w14:paraId="392A16BA" w14:textId="77777777" w:rsidR="00C7410A" w:rsidRPr="00C7410A" w:rsidRDefault="00C7410A" w:rsidP="00F740A7">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Cluster 2 and 4 (respectively, female and male consumers with university education) prefer to buy cheese mainly in supermarkets (Table 3). The other three clusters prefer primarily convenience shops. </w:t>
      </w:r>
    </w:p>
    <w:p w14:paraId="1EB6C2BA" w14:textId="77777777" w:rsidR="00C7410A" w:rsidRPr="00626499" w:rsidRDefault="00C7410A" w:rsidP="00F740A7">
      <w:pPr>
        <w:spacing w:before="120" w:after="120" w:line="276" w:lineRule="auto"/>
        <w:outlineLvl w:val="0"/>
        <w:rPr>
          <w:rFonts w:ascii="Times New Roman" w:eastAsia="Times New Roman" w:hAnsi="Times New Roman" w:cs="Times New Roman"/>
          <w:b/>
          <w:bCs/>
          <w:kern w:val="36"/>
          <w:sz w:val="10"/>
          <w:szCs w:val="10"/>
          <w:lang w:val="en-GB"/>
        </w:rPr>
      </w:pPr>
    </w:p>
    <w:p w14:paraId="64591549" w14:textId="77777777" w:rsidR="00C7410A" w:rsidRPr="00C7410A" w:rsidRDefault="00C7410A" w:rsidP="00F740A7">
      <w:pPr>
        <w:spacing w:before="120" w:after="120" w:line="276" w:lineRule="auto"/>
        <w:rPr>
          <w:rFonts w:ascii="Times New Roman" w:eastAsia="Times New Roman" w:hAnsi="Times New Roman" w:cs="Times New Roman"/>
          <w:sz w:val="24"/>
          <w:szCs w:val="24"/>
          <w:lang w:val="en-GB"/>
        </w:rPr>
      </w:pPr>
      <w:r w:rsidRPr="00C7410A">
        <w:rPr>
          <w:rFonts w:ascii="Times New Roman" w:eastAsia="Times New Roman" w:hAnsi="Times New Roman" w:cs="Times New Roman"/>
          <w:b/>
          <w:sz w:val="24"/>
          <w:szCs w:val="24"/>
          <w:lang w:val="en-GB"/>
        </w:rPr>
        <w:t>Table 3:</w:t>
      </w:r>
      <w:r w:rsidRPr="00C7410A">
        <w:rPr>
          <w:rFonts w:ascii="Times New Roman" w:eastAsia="Times New Roman" w:hAnsi="Times New Roman" w:cs="Times New Roman"/>
          <w:sz w:val="24"/>
          <w:szCs w:val="24"/>
          <w:lang w:val="en-GB"/>
        </w:rPr>
        <w:t xml:space="preserve"> Main outlet where cheese is purchased/sourced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158"/>
        <w:gridCol w:w="1079"/>
        <w:gridCol w:w="1137"/>
        <w:gridCol w:w="1302"/>
        <w:gridCol w:w="1260"/>
        <w:gridCol w:w="1109"/>
        <w:gridCol w:w="1214"/>
        <w:gridCol w:w="15"/>
      </w:tblGrid>
      <w:tr w:rsidR="00C7410A" w:rsidRPr="00C7410A" w14:paraId="2F7A98D3" w14:textId="77777777" w:rsidTr="00626499">
        <w:trPr>
          <w:trHeight w:val="315"/>
        </w:trPr>
        <w:tc>
          <w:tcPr>
            <w:tcW w:w="576" w:type="pct"/>
            <w:vMerge w:val="restart"/>
            <w:shd w:val="clear" w:color="auto" w:fill="auto"/>
          </w:tcPr>
          <w:p w14:paraId="489288CE"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Cluster</w:t>
            </w:r>
          </w:p>
        </w:tc>
        <w:tc>
          <w:tcPr>
            <w:tcW w:w="619" w:type="pct"/>
            <w:vMerge w:val="restart"/>
            <w:shd w:val="clear" w:color="auto" w:fill="auto"/>
          </w:tcPr>
          <w:p w14:paraId="38972745" w14:textId="77777777" w:rsidR="00C7410A" w:rsidRPr="00C7410A" w:rsidRDefault="00C7410A" w:rsidP="00F740A7">
            <w:pPr>
              <w:spacing w:after="0" w:line="276" w:lineRule="auto"/>
              <w:jc w:val="center"/>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Indicator</w:t>
            </w:r>
          </w:p>
        </w:tc>
        <w:tc>
          <w:tcPr>
            <w:tcW w:w="3148" w:type="pct"/>
            <w:gridSpan w:val="5"/>
            <w:shd w:val="clear" w:color="auto" w:fill="auto"/>
          </w:tcPr>
          <w:p w14:paraId="19CA5324"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Place of buying cheese</w:t>
            </w:r>
          </w:p>
        </w:tc>
        <w:tc>
          <w:tcPr>
            <w:tcW w:w="656" w:type="pct"/>
            <w:gridSpan w:val="2"/>
            <w:shd w:val="clear" w:color="auto" w:fill="auto"/>
          </w:tcPr>
          <w:p w14:paraId="01E45417"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Total</w:t>
            </w:r>
          </w:p>
        </w:tc>
      </w:tr>
      <w:tr w:rsidR="00C7410A" w:rsidRPr="00C7410A" w14:paraId="02A6C929" w14:textId="77777777" w:rsidTr="00626499">
        <w:trPr>
          <w:gridAfter w:val="1"/>
          <w:wAfter w:w="7" w:type="pct"/>
          <w:trHeight w:val="503"/>
        </w:trPr>
        <w:tc>
          <w:tcPr>
            <w:tcW w:w="576" w:type="pct"/>
            <w:vMerge/>
            <w:shd w:val="clear" w:color="auto" w:fill="auto"/>
          </w:tcPr>
          <w:p w14:paraId="0D459F6A"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619" w:type="pct"/>
            <w:vMerge/>
            <w:shd w:val="clear" w:color="auto" w:fill="auto"/>
          </w:tcPr>
          <w:p w14:paraId="430157EF"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577" w:type="pct"/>
            <w:shd w:val="clear" w:color="auto" w:fill="auto"/>
          </w:tcPr>
          <w:p w14:paraId="25974F08"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Dairy shop</w:t>
            </w:r>
          </w:p>
        </w:tc>
        <w:tc>
          <w:tcPr>
            <w:tcW w:w="608" w:type="pct"/>
            <w:shd w:val="clear" w:color="auto" w:fill="auto"/>
          </w:tcPr>
          <w:p w14:paraId="38BFAC44"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Supermarket</w:t>
            </w:r>
          </w:p>
        </w:tc>
        <w:tc>
          <w:tcPr>
            <w:tcW w:w="696" w:type="pct"/>
            <w:shd w:val="clear" w:color="auto" w:fill="auto"/>
          </w:tcPr>
          <w:p w14:paraId="2C4075AF"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Convenience shop</w:t>
            </w:r>
          </w:p>
        </w:tc>
        <w:tc>
          <w:tcPr>
            <w:tcW w:w="674" w:type="pct"/>
            <w:shd w:val="clear" w:color="auto" w:fill="auto"/>
          </w:tcPr>
          <w:p w14:paraId="3FEF9144"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Dairy factory</w:t>
            </w:r>
          </w:p>
        </w:tc>
        <w:tc>
          <w:tcPr>
            <w:tcW w:w="593" w:type="pct"/>
            <w:shd w:val="clear" w:color="auto" w:fill="auto"/>
          </w:tcPr>
          <w:p w14:paraId="64A4BD9C"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Other</w:t>
            </w:r>
          </w:p>
        </w:tc>
        <w:tc>
          <w:tcPr>
            <w:tcW w:w="649" w:type="pct"/>
            <w:shd w:val="clear" w:color="auto" w:fill="auto"/>
          </w:tcPr>
          <w:p w14:paraId="1F0AF6B2"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r>
      <w:tr w:rsidR="00C7410A" w:rsidRPr="00C7410A" w14:paraId="7CB453ED" w14:textId="77777777" w:rsidTr="00626499">
        <w:trPr>
          <w:gridAfter w:val="1"/>
          <w:wAfter w:w="7" w:type="pct"/>
          <w:trHeight w:val="300"/>
        </w:trPr>
        <w:tc>
          <w:tcPr>
            <w:tcW w:w="576" w:type="pct"/>
            <w:vMerge w:val="restart"/>
          </w:tcPr>
          <w:p w14:paraId="537FC9BD"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1 – MEF</w:t>
            </w:r>
          </w:p>
        </w:tc>
        <w:tc>
          <w:tcPr>
            <w:tcW w:w="619" w:type="pct"/>
          </w:tcPr>
          <w:p w14:paraId="686B3911"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577" w:type="pct"/>
          </w:tcPr>
          <w:p w14:paraId="7479371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9</w:t>
            </w:r>
          </w:p>
        </w:tc>
        <w:tc>
          <w:tcPr>
            <w:tcW w:w="608" w:type="pct"/>
          </w:tcPr>
          <w:p w14:paraId="694429A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w:t>
            </w:r>
          </w:p>
        </w:tc>
        <w:tc>
          <w:tcPr>
            <w:tcW w:w="696" w:type="pct"/>
          </w:tcPr>
          <w:p w14:paraId="76FDD41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18</w:t>
            </w:r>
          </w:p>
        </w:tc>
        <w:tc>
          <w:tcPr>
            <w:tcW w:w="674" w:type="pct"/>
          </w:tcPr>
          <w:p w14:paraId="02BE3E97"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0</w:t>
            </w:r>
          </w:p>
        </w:tc>
        <w:tc>
          <w:tcPr>
            <w:tcW w:w="593" w:type="pct"/>
            <w:vAlign w:val="bottom"/>
          </w:tcPr>
          <w:p w14:paraId="5773DE3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3</w:t>
            </w:r>
          </w:p>
        </w:tc>
        <w:tc>
          <w:tcPr>
            <w:tcW w:w="649" w:type="pct"/>
          </w:tcPr>
          <w:p w14:paraId="132139D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35</w:t>
            </w:r>
          </w:p>
        </w:tc>
      </w:tr>
      <w:tr w:rsidR="00C7410A" w:rsidRPr="00C7410A" w14:paraId="548F87C0" w14:textId="77777777" w:rsidTr="00626499">
        <w:trPr>
          <w:gridAfter w:val="1"/>
          <w:wAfter w:w="7" w:type="pct"/>
          <w:trHeight w:val="255"/>
        </w:trPr>
        <w:tc>
          <w:tcPr>
            <w:tcW w:w="576" w:type="pct"/>
            <w:vMerge/>
          </w:tcPr>
          <w:p w14:paraId="2D04AA1A"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619" w:type="pct"/>
          </w:tcPr>
          <w:p w14:paraId="26FE7CCA"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577" w:type="pct"/>
          </w:tcPr>
          <w:p w14:paraId="0C0626F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25.7%</w:t>
            </w:r>
          </w:p>
        </w:tc>
        <w:tc>
          <w:tcPr>
            <w:tcW w:w="608" w:type="pct"/>
          </w:tcPr>
          <w:p w14:paraId="631122C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14.3%</w:t>
            </w:r>
          </w:p>
        </w:tc>
        <w:tc>
          <w:tcPr>
            <w:tcW w:w="696" w:type="pct"/>
          </w:tcPr>
          <w:p w14:paraId="236EFDDD"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51.4%</w:t>
            </w:r>
          </w:p>
        </w:tc>
        <w:tc>
          <w:tcPr>
            <w:tcW w:w="674" w:type="pct"/>
          </w:tcPr>
          <w:p w14:paraId="740DC027"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0.0%</w:t>
            </w:r>
          </w:p>
        </w:tc>
        <w:tc>
          <w:tcPr>
            <w:tcW w:w="593" w:type="pct"/>
            <w:vAlign w:val="bottom"/>
          </w:tcPr>
          <w:p w14:paraId="4E91933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9%</w:t>
            </w:r>
          </w:p>
        </w:tc>
        <w:tc>
          <w:tcPr>
            <w:tcW w:w="649" w:type="pct"/>
          </w:tcPr>
          <w:p w14:paraId="41C8EF4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220B7D5B" w14:textId="77777777" w:rsidTr="00626499">
        <w:trPr>
          <w:gridAfter w:val="1"/>
          <w:wAfter w:w="7" w:type="pct"/>
          <w:trHeight w:val="255"/>
        </w:trPr>
        <w:tc>
          <w:tcPr>
            <w:tcW w:w="576" w:type="pct"/>
            <w:vMerge w:val="restart"/>
            <w:vAlign w:val="center"/>
          </w:tcPr>
          <w:p w14:paraId="2157A340"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2 – HEF</w:t>
            </w:r>
          </w:p>
        </w:tc>
        <w:tc>
          <w:tcPr>
            <w:tcW w:w="619" w:type="pct"/>
          </w:tcPr>
          <w:p w14:paraId="3A1E8134"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577" w:type="pct"/>
          </w:tcPr>
          <w:p w14:paraId="3F4F6F2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11</w:t>
            </w:r>
          </w:p>
        </w:tc>
        <w:tc>
          <w:tcPr>
            <w:tcW w:w="608" w:type="pct"/>
          </w:tcPr>
          <w:p w14:paraId="6567D4AD"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25</w:t>
            </w:r>
          </w:p>
        </w:tc>
        <w:tc>
          <w:tcPr>
            <w:tcW w:w="696" w:type="pct"/>
          </w:tcPr>
          <w:p w14:paraId="5B56E2D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8</w:t>
            </w:r>
          </w:p>
        </w:tc>
        <w:tc>
          <w:tcPr>
            <w:tcW w:w="674" w:type="pct"/>
          </w:tcPr>
          <w:p w14:paraId="2F4829F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w:t>
            </w:r>
          </w:p>
        </w:tc>
        <w:tc>
          <w:tcPr>
            <w:tcW w:w="593" w:type="pct"/>
            <w:vAlign w:val="bottom"/>
          </w:tcPr>
          <w:p w14:paraId="7E7ED1D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4</w:t>
            </w:r>
          </w:p>
        </w:tc>
        <w:tc>
          <w:tcPr>
            <w:tcW w:w="649" w:type="pct"/>
          </w:tcPr>
          <w:p w14:paraId="6245925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49</w:t>
            </w:r>
          </w:p>
        </w:tc>
      </w:tr>
      <w:tr w:rsidR="00C7410A" w:rsidRPr="00C7410A" w14:paraId="01E00E21" w14:textId="77777777" w:rsidTr="00626499">
        <w:trPr>
          <w:gridAfter w:val="1"/>
          <w:wAfter w:w="7" w:type="pct"/>
          <w:trHeight w:val="255"/>
        </w:trPr>
        <w:tc>
          <w:tcPr>
            <w:tcW w:w="576" w:type="pct"/>
            <w:vMerge/>
            <w:vAlign w:val="center"/>
          </w:tcPr>
          <w:p w14:paraId="2DD4C18F"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619" w:type="pct"/>
          </w:tcPr>
          <w:p w14:paraId="561258F3"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577" w:type="pct"/>
          </w:tcPr>
          <w:p w14:paraId="18EB3F7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22.4%</w:t>
            </w:r>
          </w:p>
        </w:tc>
        <w:tc>
          <w:tcPr>
            <w:tcW w:w="608" w:type="pct"/>
          </w:tcPr>
          <w:p w14:paraId="13EF76C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51.0%</w:t>
            </w:r>
          </w:p>
        </w:tc>
        <w:tc>
          <w:tcPr>
            <w:tcW w:w="696" w:type="pct"/>
          </w:tcPr>
          <w:p w14:paraId="64AB838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16.3%</w:t>
            </w:r>
          </w:p>
        </w:tc>
        <w:tc>
          <w:tcPr>
            <w:tcW w:w="674" w:type="pct"/>
          </w:tcPr>
          <w:p w14:paraId="22E0F15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2.0%</w:t>
            </w:r>
          </w:p>
        </w:tc>
        <w:tc>
          <w:tcPr>
            <w:tcW w:w="593" w:type="pct"/>
            <w:vAlign w:val="bottom"/>
          </w:tcPr>
          <w:p w14:paraId="2A9650C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8%</w:t>
            </w:r>
          </w:p>
        </w:tc>
        <w:tc>
          <w:tcPr>
            <w:tcW w:w="649" w:type="pct"/>
          </w:tcPr>
          <w:p w14:paraId="63A6679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39A6B725" w14:textId="77777777" w:rsidTr="00626499">
        <w:trPr>
          <w:gridAfter w:val="1"/>
          <w:wAfter w:w="7" w:type="pct"/>
          <w:trHeight w:val="255"/>
        </w:trPr>
        <w:tc>
          <w:tcPr>
            <w:tcW w:w="576" w:type="pct"/>
            <w:vMerge w:val="restart"/>
            <w:vAlign w:val="center"/>
          </w:tcPr>
          <w:p w14:paraId="0B8AC369"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3 – LE</w:t>
            </w:r>
          </w:p>
        </w:tc>
        <w:tc>
          <w:tcPr>
            <w:tcW w:w="619" w:type="pct"/>
          </w:tcPr>
          <w:p w14:paraId="65774832"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577" w:type="pct"/>
          </w:tcPr>
          <w:p w14:paraId="2C1987B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w:t>
            </w:r>
          </w:p>
        </w:tc>
        <w:tc>
          <w:tcPr>
            <w:tcW w:w="608" w:type="pct"/>
          </w:tcPr>
          <w:p w14:paraId="6A782EB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w:t>
            </w:r>
          </w:p>
        </w:tc>
        <w:tc>
          <w:tcPr>
            <w:tcW w:w="696" w:type="pct"/>
          </w:tcPr>
          <w:p w14:paraId="1FA4843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12</w:t>
            </w:r>
          </w:p>
        </w:tc>
        <w:tc>
          <w:tcPr>
            <w:tcW w:w="674" w:type="pct"/>
          </w:tcPr>
          <w:p w14:paraId="0570D6C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w:t>
            </w:r>
          </w:p>
        </w:tc>
        <w:tc>
          <w:tcPr>
            <w:tcW w:w="593" w:type="pct"/>
            <w:vAlign w:val="bottom"/>
          </w:tcPr>
          <w:p w14:paraId="54EC248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7</w:t>
            </w:r>
          </w:p>
        </w:tc>
        <w:tc>
          <w:tcPr>
            <w:tcW w:w="649" w:type="pct"/>
          </w:tcPr>
          <w:p w14:paraId="0242042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26</w:t>
            </w:r>
          </w:p>
        </w:tc>
      </w:tr>
      <w:tr w:rsidR="00C7410A" w:rsidRPr="00C7410A" w14:paraId="664897FD" w14:textId="77777777" w:rsidTr="00626499">
        <w:trPr>
          <w:gridAfter w:val="1"/>
          <w:wAfter w:w="7" w:type="pct"/>
          <w:trHeight w:val="255"/>
        </w:trPr>
        <w:tc>
          <w:tcPr>
            <w:tcW w:w="576" w:type="pct"/>
            <w:vMerge/>
            <w:vAlign w:val="center"/>
          </w:tcPr>
          <w:p w14:paraId="4BCCD1E5"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619" w:type="pct"/>
          </w:tcPr>
          <w:p w14:paraId="0B9D2BAA"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577" w:type="pct"/>
          </w:tcPr>
          <w:p w14:paraId="27A0DAB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19.2%</w:t>
            </w:r>
          </w:p>
        </w:tc>
        <w:tc>
          <w:tcPr>
            <w:tcW w:w="608" w:type="pct"/>
          </w:tcPr>
          <w:p w14:paraId="60F2B28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3.8%</w:t>
            </w:r>
          </w:p>
        </w:tc>
        <w:tc>
          <w:tcPr>
            <w:tcW w:w="696" w:type="pct"/>
          </w:tcPr>
          <w:p w14:paraId="59B708E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46.2%</w:t>
            </w:r>
          </w:p>
        </w:tc>
        <w:tc>
          <w:tcPr>
            <w:tcW w:w="674" w:type="pct"/>
          </w:tcPr>
          <w:p w14:paraId="5DDC8FE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3.8%</w:t>
            </w:r>
          </w:p>
        </w:tc>
        <w:tc>
          <w:tcPr>
            <w:tcW w:w="593" w:type="pct"/>
            <w:vAlign w:val="bottom"/>
          </w:tcPr>
          <w:p w14:paraId="71898DE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27%</w:t>
            </w:r>
          </w:p>
        </w:tc>
        <w:tc>
          <w:tcPr>
            <w:tcW w:w="649" w:type="pct"/>
          </w:tcPr>
          <w:p w14:paraId="4515897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57DB3C72" w14:textId="77777777" w:rsidTr="00626499">
        <w:trPr>
          <w:gridAfter w:val="1"/>
          <w:wAfter w:w="7" w:type="pct"/>
          <w:trHeight w:val="255"/>
        </w:trPr>
        <w:tc>
          <w:tcPr>
            <w:tcW w:w="576" w:type="pct"/>
            <w:vMerge w:val="restart"/>
            <w:vAlign w:val="center"/>
          </w:tcPr>
          <w:p w14:paraId="09FBB05C"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4 – HEM</w:t>
            </w:r>
          </w:p>
        </w:tc>
        <w:tc>
          <w:tcPr>
            <w:tcW w:w="619" w:type="pct"/>
          </w:tcPr>
          <w:p w14:paraId="17A97F08"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577" w:type="pct"/>
          </w:tcPr>
          <w:p w14:paraId="5C7B25E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6</w:t>
            </w:r>
          </w:p>
        </w:tc>
        <w:tc>
          <w:tcPr>
            <w:tcW w:w="608" w:type="pct"/>
          </w:tcPr>
          <w:p w14:paraId="7B6AF4F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14</w:t>
            </w:r>
          </w:p>
        </w:tc>
        <w:tc>
          <w:tcPr>
            <w:tcW w:w="696" w:type="pct"/>
          </w:tcPr>
          <w:p w14:paraId="5145DD2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11</w:t>
            </w:r>
          </w:p>
        </w:tc>
        <w:tc>
          <w:tcPr>
            <w:tcW w:w="674" w:type="pct"/>
          </w:tcPr>
          <w:p w14:paraId="004257E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w:t>
            </w:r>
          </w:p>
        </w:tc>
        <w:tc>
          <w:tcPr>
            <w:tcW w:w="593" w:type="pct"/>
            <w:vAlign w:val="bottom"/>
          </w:tcPr>
          <w:p w14:paraId="0C33AD0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6</w:t>
            </w:r>
          </w:p>
        </w:tc>
        <w:tc>
          <w:tcPr>
            <w:tcW w:w="649" w:type="pct"/>
          </w:tcPr>
          <w:p w14:paraId="358203D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41</w:t>
            </w:r>
          </w:p>
        </w:tc>
      </w:tr>
      <w:tr w:rsidR="00C7410A" w:rsidRPr="00C7410A" w14:paraId="1DC6C0D9" w14:textId="77777777" w:rsidTr="00626499">
        <w:trPr>
          <w:gridAfter w:val="1"/>
          <w:wAfter w:w="7" w:type="pct"/>
          <w:trHeight w:val="255"/>
        </w:trPr>
        <w:tc>
          <w:tcPr>
            <w:tcW w:w="576" w:type="pct"/>
            <w:vMerge/>
            <w:vAlign w:val="center"/>
          </w:tcPr>
          <w:p w14:paraId="10AAC60C"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619" w:type="pct"/>
          </w:tcPr>
          <w:p w14:paraId="027C6BAB"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577" w:type="pct"/>
          </w:tcPr>
          <w:p w14:paraId="7A3B202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14.6%</w:t>
            </w:r>
          </w:p>
        </w:tc>
        <w:tc>
          <w:tcPr>
            <w:tcW w:w="608" w:type="pct"/>
          </w:tcPr>
          <w:p w14:paraId="494DC91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34.1%</w:t>
            </w:r>
          </w:p>
        </w:tc>
        <w:tc>
          <w:tcPr>
            <w:tcW w:w="696" w:type="pct"/>
          </w:tcPr>
          <w:p w14:paraId="482791F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26.8%</w:t>
            </w:r>
          </w:p>
        </w:tc>
        <w:tc>
          <w:tcPr>
            <w:tcW w:w="674" w:type="pct"/>
          </w:tcPr>
          <w:p w14:paraId="311806E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9.8%</w:t>
            </w:r>
          </w:p>
        </w:tc>
        <w:tc>
          <w:tcPr>
            <w:tcW w:w="593" w:type="pct"/>
            <w:vAlign w:val="bottom"/>
          </w:tcPr>
          <w:p w14:paraId="01CC9E2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15%</w:t>
            </w:r>
          </w:p>
        </w:tc>
        <w:tc>
          <w:tcPr>
            <w:tcW w:w="649" w:type="pct"/>
          </w:tcPr>
          <w:p w14:paraId="21DC5C1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429DA82C" w14:textId="77777777" w:rsidTr="00626499">
        <w:trPr>
          <w:gridAfter w:val="1"/>
          <w:wAfter w:w="7" w:type="pct"/>
          <w:trHeight w:val="255"/>
        </w:trPr>
        <w:tc>
          <w:tcPr>
            <w:tcW w:w="576" w:type="pct"/>
            <w:vMerge w:val="restart"/>
            <w:vAlign w:val="center"/>
          </w:tcPr>
          <w:p w14:paraId="6CE0F60F"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5 – MEM</w:t>
            </w:r>
          </w:p>
        </w:tc>
        <w:tc>
          <w:tcPr>
            <w:tcW w:w="619" w:type="pct"/>
          </w:tcPr>
          <w:p w14:paraId="0D4C8441"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577" w:type="pct"/>
          </w:tcPr>
          <w:p w14:paraId="4B7A6D2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11</w:t>
            </w:r>
          </w:p>
        </w:tc>
        <w:tc>
          <w:tcPr>
            <w:tcW w:w="608" w:type="pct"/>
          </w:tcPr>
          <w:p w14:paraId="32BB671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w:t>
            </w:r>
          </w:p>
        </w:tc>
        <w:tc>
          <w:tcPr>
            <w:tcW w:w="696" w:type="pct"/>
          </w:tcPr>
          <w:p w14:paraId="5A6D931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18</w:t>
            </w:r>
          </w:p>
        </w:tc>
        <w:tc>
          <w:tcPr>
            <w:tcW w:w="674" w:type="pct"/>
          </w:tcPr>
          <w:p w14:paraId="38B202F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0</w:t>
            </w:r>
          </w:p>
        </w:tc>
        <w:tc>
          <w:tcPr>
            <w:tcW w:w="593" w:type="pct"/>
            <w:vAlign w:val="bottom"/>
          </w:tcPr>
          <w:p w14:paraId="2027F35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10</w:t>
            </w:r>
          </w:p>
        </w:tc>
        <w:tc>
          <w:tcPr>
            <w:tcW w:w="649" w:type="pct"/>
          </w:tcPr>
          <w:p w14:paraId="37AEA93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49</w:t>
            </w:r>
          </w:p>
        </w:tc>
      </w:tr>
      <w:tr w:rsidR="00C7410A" w:rsidRPr="00C7410A" w14:paraId="288CFEE6" w14:textId="77777777" w:rsidTr="00626499">
        <w:trPr>
          <w:gridAfter w:val="1"/>
          <w:wAfter w:w="7" w:type="pct"/>
          <w:trHeight w:val="255"/>
        </w:trPr>
        <w:tc>
          <w:tcPr>
            <w:tcW w:w="576" w:type="pct"/>
            <w:vMerge/>
            <w:vAlign w:val="center"/>
          </w:tcPr>
          <w:p w14:paraId="354984FD"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619" w:type="pct"/>
          </w:tcPr>
          <w:p w14:paraId="607FB20E"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577" w:type="pct"/>
          </w:tcPr>
          <w:p w14:paraId="1DDE9C4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22.4%</w:t>
            </w:r>
          </w:p>
        </w:tc>
        <w:tc>
          <w:tcPr>
            <w:tcW w:w="608" w:type="pct"/>
          </w:tcPr>
          <w:p w14:paraId="001D22F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20.4%</w:t>
            </w:r>
          </w:p>
        </w:tc>
        <w:tc>
          <w:tcPr>
            <w:tcW w:w="696" w:type="pct"/>
          </w:tcPr>
          <w:p w14:paraId="78D202F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36.7%</w:t>
            </w:r>
          </w:p>
        </w:tc>
        <w:tc>
          <w:tcPr>
            <w:tcW w:w="674" w:type="pct"/>
          </w:tcPr>
          <w:p w14:paraId="2BC7A26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0.0%</w:t>
            </w:r>
          </w:p>
        </w:tc>
        <w:tc>
          <w:tcPr>
            <w:tcW w:w="593" w:type="pct"/>
            <w:vAlign w:val="bottom"/>
          </w:tcPr>
          <w:p w14:paraId="24AE435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20%</w:t>
            </w:r>
          </w:p>
        </w:tc>
        <w:tc>
          <w:tcPr>
            <w:tcW w:w="649" w:type="pct"/>
          </w:tcPr>
          <w:p w14:paraId="4C59B54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041C5312" w14:textId="77777777" w:rsidTr="00626499">
        <w:trPr>
          <w:gridAfter w:val="1"/>
          <w:wAfter w:w="7" w:type="pct"/>
          <w:trHeight w:val="255"/>
        </w:trPr>
        <w:tc>
          <w:tcPr>
            <w:tcW w:w="576" w:type="pct"/>
            <w:vMerge w:val="restart"/>
            <w:vAlign w:val="center"/>
          </w:tcPr>
          <w:p w14:paraId="441B92AC"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Total</w:t>
            </w:r>
          </w:p>
        </w:tc>
        <w:tc>
          <w:tcPr>
            <w:tcW w:w="619" w:type="pct"/>
          </w:tcPr>
          <w:p w14:paraId="70D6B782"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577" w:type="pct"/>
          </w:tcPr>
          <w:p w14:paraId="784AED0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42</w:t>
            </w:r>
          </w:p>
        </w:tc>
        <w:tc>
          <w:tcPr>
            <w:tcW w:w="608" w:type="pct"/>
          </w:tcPr>
          <w:p w14:paraId="6D755BF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55</w:t>
            </w:r>
          </w:p>
        </w:tc>
        <w:tc>
          <w:tcPr>
            <w:tcW w:w="696" w:type="pct"/>
          </w:tcPr>
          <w:p w14:paraId="4A554AB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67</w:t>
            </w:r>
          </w:p>
        </w:tc>
        <w:tc>
          <w:tcPr>
            <w:tcW w:w="674" w:type="pct"/>
          </w:tcPr>
          <w:p w14:paraId="4520862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6</w:t>
            </w:r>
          </w:p>
        </w:tc>
        <w:tc>
          <w:tcPr>
            <w:tcW w:w="593" w:type="pct"/>
            <w:vAlign w:val="bottom"/>
          </w:tcPr>
          <w:p w14:paraId="0BC6818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30</w:t>
            </w:r>
          </w:p>
        </w:tc>
        <w:tc>
          <w:tcPr>
            <w:tcW w:w="649" w:type="pct"/>
          </w:tcPr>
          <w:p w14:paraId="59649E5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200</w:t>
            </w:r>
          </w:p>
        </w:tc>
      </w:tr>
      <w:tr w:rsidR="00C7410A" w:rsidRPr="00C7410A" w14:paraId="112562AD" w14:textId="77777777" w:rsidTr="00626499">
        <w:trPr>
          <w:gridAfter w:val="1"/>
          <w:wAfter w:w="7" w:type="pct"/>
          <w:trHeight w:val="255"/>
        </w:trPr>
        <w:tc>
          <w:tcPr>
            <w:tcW w:w="576" w:type="pct"/>
            <w:vMerge/>
            <w:vAlign w:val="center"/>
          </w:tcPr>
          <w:p w14:paraId="4DAB81A0"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619" w:type="pct"/>
          </w:tcPr>
          <w:p w14:paraId="4798B7C8"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577" w:type="pct"/>
          </w:tcPr>
          <w:p w14:paraId="48CF59A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21.0%</w:t>
            </w:r>
          </w:p>
        </w:tc>
        <w:tc>
          <w:tcPr>
            <w:tcW w:w="608" w:type="pct"/>
          </w:tcPr>
          <w:p w14:paraId="55AE7DDB"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27.5%</w:t>
            </w:r>
          </w:p>
        </w:tc>
        <w:tc>
          <w:tcPr>
            <w:tcW w:w="696" w:type="pct"/>
          </w:tcPr>
          <w:p w14:paraId="221F2AE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33.5%</w:t>
            </w:r>
          </w:p>
        </w:tc>
        <w:tc>
          <w:tcPr>
            <w:tcW w:w="674" w:type="pct"/>
          </w:tcPr>
          <w:p w14:paraId="20BCB7E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3.0%</w:t>
            </w:r>
          </w:p>
        </w:tc>
        <w:tc>
          <w:tcPr>
            <w:tcW w:w="593" w:type="pct"/>
            <w:vAlign w:val="bottom"/>
          </w:tcPr>
          <w:p w14:paraId="02E8F62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highlight w:val="yellow"/>
                <w:lang w:val="en-GB"/>
              </w:rPr>
            </w:pPr>
            <w:r w:rsidRPr="00C7410A">
              <w:rPr>
                <w:rFonts w:ascii="Times New Roman" w:eastAsia="Times New Roman" w:hAnsi="Times New Roman" w:cs="Times New Roman"/>
                <w:color w:val="000000"/>
                <w:lang w:val="en-GB"/>
              </w:rPr>
              <w:t>15%</w:t>
            </w:r>
          </w:p>
        </w:tc>
        <w:tc>
          <w:tcPr>
            <w:tcW w:w="649" w:type="pct"/>
          </w:tcPr>
          <w:p w14:paraId="3E384E6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62308CD7" w14:textId="77777777" w:rsidTr="00F35B58">
        <w:trPr>
          <w:trHeight w:val="300"/>
        </w:trPr>
        <w:tc>
          <w:tcPr>
            <w:tcW w:w="5000" w:type="pct"/>
            <w:gridSpan w:val="9"/>
            <w:vAlign w:val="center"/>
          </w:tcPr>
          <w:p w14:paraId="62473E5E"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Pearson’s Chi-Square</w:t>
            </w:r>
            <w:r w:rsidRPr="00C7410A">
              <w:rPr>
                <w:rFonts w:ascii="Times New Roman" w:eastAsia="Times New Roman" w:hAnsi="Times New Roman" w:cs="Times New Roman"/>
                <w:sz w:val="24"/>
                <w:szCs w:val="24"/>
                <w:lang w:val="en-GB"/>
              </w:rPr>
              <w:t xml:space="preserve"> </w:t>
            </w:r>
            <w:r w:rsidRPr="00C7410A">
              <w:rPr>
                <w:rFonts w:ascii="Times New Roman" w:eastAsia="Times New Roman" w:hAnsi="Times New Roman" w:cs="Times New Roman"/>
                <w:sz w:val="20"/>
                <w:szCs w:val="20"/>
                <w:lang w:val="en-GB"/>
              </w:rPr>
              <w:t>p-value = 0.000</w:t>
            </w:r>
          </w:p>
        </w:tc>
      </w:tr>
    </w:tbl>
    <w:p w14:paraId="7B97F522"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 xml:space="preserve">Source: Field Survey </w:t>
      </w:r>
    </w:p>
    <w:p w14:paraId="0FA4222D" w14:textId="77777777" w:rsidR="00C7410A" w:rsidRPr="00626499" w:rsidRDefault="00C7410A" w:rsidP="00F740A7">
      <w:pPr>
        <w:spacing w:before="120" w:after="120" w:line="276" w:lineRule="auto"/>
        <w:jc w:val="both"/>
        <w:rPr>
          <w:rFonts w:ascii="Times New Roman" w:eastAsia="Times New Roman" w:hAnsi="Times New Roman" w:cs="Times New Roman"/>
          <w:sz w:val="10"/>
          <w:szCs w:val="10"/>
          <w:lang w:val="en-GB"/>
        </w:rPr>
      </w:pPr>
    </w:p>
    <w:p w14:paraId="26BFBF89" w14:textId="77777777" w:rsidR="00C7410A" w:rsidRPr="00C7410A" w:rsidRDefault="00C7410A" w:rsidP="00FD5ADD">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About 91 % of the consumers state that they usually buy unpacked cheese (thus only 9 % usually buy packed cheese). However, when asked about their preferences, almost 25 % of the consumers prefer to buy packed cheese (Table 4). Consumers belonging to the HEF and HEM clusters (respective female and male consumers with university education) are more inclined towards packed cheese, although, even within these two clusters, the majority prefer purchase unpacked cheese. </w:t>
      </w:r>
    </w:p>
    <w:p w14:paraId="2523C489" w14:textId="77777777" w:rsidR="00C7410A" w:rsidRPr="00C7410A" w:rsidRDefault="00C7410A" w:rsidP="00FD5ADD">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p>
    <w:p w14:paraId="68378679" w14:textId="77777777" w:rsidR="00C7410A" w:rsidRPr="00C7410A" w:rsidRDefault="00C7410A" w:rsidP="00FD5ADD">
      <w:pPr>
        <w:spacing w:before="120" w:after="120" w:line="276" w:lineRule="auto"/>
        <w:rPr>
          <w:rFonts w:ascii="Times New Roman" w:eastAsia="Times New Roman" w:hAnsi="Times New Roman" w:cs="Times New Roman"/>
          <w:sz w:val="24"/>
          <w:szCs w:val="24"/>
          <w:lang w:val="en-GB"/>
        </w:rPr>
      </w:pPr>
      <w:r w:rsidRPr="00C7410A">
        <w:rPr>
          <w:rFonts w:ascii="Times New Roman" w:eastAsia="Times New Roman" w:hAnsi="Times New Roman" w:cs="Times New Roman"/>
          <w:b/>
          <w:sz w:val="24"/>
          <w:szCs w:val="24"/>
          <w:lang w:val="en-GB"/>
        </w:rPr>
        <w:t>Table 4:</w:t>
      </w:r>
      <w:r w:rsidRPr="00C7410A">
        <w:rPr>
          <w:rFonts w:ascii="Times New Roman" w:eastAsia="Times New Roman" w:hAnsi="Times New Roman" w:cs="Times New Roman"/>
          <w:sz w:val="24"/>
          <w:szCs w:val="24"/>
          <w:lang w:val="en-GB"/>
        </w:rPr>
        <w:t xml:space="preserve"> Preference for packaging of purchased cheese</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2219"/>
        <w:gridCol w:w="1785"/>
        <w:gridCol w:w="1785"/>
        <w:gridCol w:w="1781"/>
      </w:tblGrid>
      <w:tr w:rsidR="00C7410A" w:rsidRPr="00C7410A" w14:paraId="56073B53" w14:textId="77777777" w:rsidTr="00F35B58">
        <w:trPr>
          <w:trHeight w:val="300"/>
        </w:trPr>
        <w:tc>
          <w:tcPr>
            <w:tcW w:w="2068" w:type="dxa"/>
            <w:vMerge w:val="restart"/>
            <w:shd w:val="clear" w:color="auto" w:fill="auto"/>
          </w:tcPr>
          <w:p w14:paraId="352EAD78"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Cluster</w:t>
            </w:r>
          </w:p>
        </w:tc>
        <w:tc>
          <w:tcPr>
            <w:tcW w:w="2219" w:type="dxa"/>
            <w:vMerge w:val="restart"/>
            <w:shd w:val="clear" w:color="auto" w:fill="auto"/>
          </w:tcPr>
          <w:p w14:paraId="5AC1A271" w14:textId="77777777" w:rsidR="00C7410A" w:rsidRPr="00C7410A" w:rsidRDefault="00C7410A" w:rsidP="00F740A7">
            <w:pPr>
              <w:spacing w:after="0" w:line="276" w:lineRule="auto"/>
              <w:jc w:val="center"/>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Indicator</w:t>
            </w:r>
          </w:p>
        </w:tc>
        <w:tc>
          <w:tcPr>
            <w:tcW w:w="3570" w:type="dxa"/>
            <w:gridSpan w:val="2"/>
            <w:shd w:val="clear" w:color="auto" w:fill="auto"/>
          </w:tcPr>
          <w:p w14:paraId="5181BEB0"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Type</w:t>
            </w:r>
          </w:p>
        </w:tc>
        <w:tc>
          <w:tcPr>
            <w:tcW w:w="1781" w:type="dxa"/>
            <w:vMerge w:val="restart"/>
            <w:shd w:val="clear" w:color="auto" w:fill="auto"/>
          </w:tcPr>
          <w:p w14:paraId="797D4684"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Total</w:t>
            </w:r>
          </w:p>
        </w:tc>
      </w:tr>
      <w:tr w:rsidR="00C7410A" w:rsidRPr="00C7410A" w14:paraId="24803D38" w14:textId="77777777" w:rsidTr="00F35B58">
        <w:trPr>
          <w:trHeight w:val="310"/>
        </w:trPr>
        <w:tc>
          <w:tcPr>
            <w:tcW w:w="2068" w:type="dxa"/>
            <w:vMerge/>
            <w:shd w:val="clear" w:color="auto" w:fill="auto"/>
          </w:tcPr>
          <w:p w14:paraId="6E7BC547"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2219" w:type="dxa"/>
            <w:vMerge/>
            <w:shd w:val="clear" w:color="auto" w:fill="auto"/>
          </w:tcPr>
          <w:p w14:paraId="1D4C24BD"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1785" w:type="dxa"/>
            <w:shd w:val="clear" w:color="auto" w:fill="auto"/>
          </w:tcPr>
          <w:p w14:paraId="0D2A2887"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Packed</w:t>
            </w:r>
          </w:p>
        </w:tc>
        <w:tc>
          <w:tcPr>
            <w:tcW w:w="1785" w:type="dxa"/>
            <w:shd w:val="clear" w:color="auto" w:fill="auto"/>
          </w:tcPr>
          <w:p w14:paraId="2561698F"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Not packed</w:t>
            </w:r>
          </w:p>
        </w:tc>
        <w:tc>
          <w:tcPr>
            <w:tcW w:w="1781" w:type="dxa"/>
            <w:vMerge/>
            <w:shd w:val="clear" w:color="auto" w:fill="auto"/>
          </w:tcPr>
          <w:p w14:paraId="251B545D"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r>
      <w:tr w:rsidR="00C7410A" w:rsidRPr="00C7410A" w14:paraId="731584CE" w14:textId="77777777" w:rsidTr="00F35B58">
        <w:trPr>
          <w:trHeight w:val="300"/>
        </w:trPr>
        <w:tc>
          <w:tcPr>
            <w:tcW w:w="2068" w:type="dxa"/>
            <w:vMerge w:val="restart"/>
            <w:shd w:val="clear" w:color="auto" w:fill="auto"/>
          </w:tcPr>
          <w:p w14:paraId="66B9411E"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1 – MEF</w:t>
            </w:r>
          </w:p>
        </w:tc>
        <w:tc>
          <w:tcPr>
            <w:tcW w:w="2219" w:type="dxa"/>
            <w:shd w:val="clear" w:color="auto" w:fill="auto"/>
          </w:tcPr>
          <w:p w14:paraId="6C040971"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785" w:type="dxa"/>
            <w:shd w:val="clear" w:color="auto" w:fill="auto"/>
          </w:tcPr>
          <w:p w14:paraId="71EB235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w:t>
            </w:r>
          </w:p>
        </w:tc>
        <w:tc>
          <w:tcPr>
            <w:tcW w:w="1785" w:type="dxa"/>
            <w:shd w:val="clear" w:color="auto" w:fill="auto"/>
          </w:tcPr>
          <w:p w14:paraId="64B6D09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31</w:t>
            </w:r>
          </w:p>
        </w:tc>
        <w:tc>
          <w:tcPr>
            <w:tcW w:w="1781" w:type="dxa"/>
            <w:shd w:val="clear" w:color="auto" w:fill="auto"/>
          </w:tcPr>
          <w:p w14:paraId="546CF59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35</w:t>
            </w:r>
          </w:p>
        </w:tc>
      </w:tr>
      <w:tr w:rsidR="00C7410A" w:rsidRPr="00C7410A" w14:paraId="1F8E36EF" w14:textId="77777777" w:rsidTr="00F35B58">
        <w:trPr>
          <w:trHeight w:val="255"/>
        </w:trPr>
        <w:tc>
          <w:tcPr>
            <w:tcW w:w="2068" w:type="dxa"/>
            <w:vMerge/>
          </w:tcPr>
          <w:p w14:paraId="1B94B778"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2219" w:type="dxa"/>
          </w:tcPr>
          <w:p w14:paraId="334F27F9"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785" w:type="dxa"/>
          </w:tcPr>
          <w:p w14:paraId="7EBD49D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11.4%</w:t>
            </w:r>
          </w:p>
        </w:tc>
        <w:tc>
          <w:tcPr>
            <w:tcW w:w="1785" w:type="dxa"/>
          </w:tcPr>
          <w:p w14:paraId="3EC64A1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88.6%</w:t>
            </w:r>
          </w:p>
        </w:tc>
        <w:tc>
          <w:tcPr>
            <w:tcW w:w="1781" w:type="dxa"/>
          </w:tcPr>
          <w:p w14:paraId="5814585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672C930B" w14:textId="77777777" w:rsidTr="00F35B58">
        <w:trPr>
          <w:trHeight w:val="255"/>
        </w:trPr>
        <w:tc>
          <w:tcPr>
            <w:tcW w:w="2068" w:type="dxa"/>
            <w:vMerge w:val="restart"/>
            <w:vAlign w:val="center"/>
          </w:tcPr>
          <w:p w14:paraId="2DDE382E"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2 – HEF</w:t>
            </w:r>
          </w:p>
        </w:tc>
        <w:tc>
          <w:tcPr>
            <w:tcW w:w="2219" w:type="dxa"/>
          </w:tcPr>
          <w:p w14:paraId="411E0FE2"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785" w:type="dxa"/>
          </w:tcPr>
          <w:p w14:paraId="39541C6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20</w:t>
            </w:r>
          </w:p>
        </w:tc>
        <w:tc>
          <w:tcPr>
            <w:tcW w:w="1785" w:type="dxa"/>
          </w:tcPr>
          <w:p w14:paraId="6AD28A4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29</w:t>
            </w:r>
          </w:p>
        </w:tc>
        <w:tc>
          <w:tcPr>
            <w:tcW w:w="1781" w:type="dxa"/>
          </w:tcPr>
          <w:p w14:paraId="2A10F24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49</w:t>
            </w:r>
          </w:p>
        </w:tc>
      </w:tr>
      <w:tr w:rsidR="00C7410A" w:rsidRPr="00C7410A" w14:paraId="2A553047" w14:textId="77777777" w:rsidTr="00F35B58">
        <w:trPr>
          <w:trHeight w:val="255"/>
        </w:trPr>
        <w:tc>
          <w:tcPr>
            <w:tcW w:w="2068" w:type="dxa"/>
            <w:vMerge/>
            <w:vAlign w:val="center"/>
          </w:tcPr>
          <w:p w14:paraId="3411FEBD"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2219" w:type="dxa"/>
          </w:tcPr>
          <w:p w14:paraId="31666829"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785" w:type="dxa"/>
          </w:tcPr>
          <w:p w14:paraId="40B6BC0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40.8%</w:t>
            </w:r>
          </w:p>
        </w:tc>
        <w:tc>
          <w:tcPr>
            <w:tcW w:w="1785" w:type="dxa"/>
          </w:tcPr>
          <w:p w14:paraId="3D57DE7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59.2%</w:t>
            </w:r>
          </w:p>
        </w:tc>
        <w:tc>
          <w:tcPr>
            <w:tcW w:w="1781" w:type="dxa"/>
          </w:tcPr>
          <w:p w14:paraId="6EFE3C1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01100966" w14:textId="77777777" w:rsidTr="00F35B58">
        <w:trPr>
          <w:trHeight w:val="255"/>
        </w:trPr>
        <w:tc>
          <w:tcPr>
            <w:tcW w:w="2068" w:type="dxa"/>
            <w:vMerge w:val="restart"/>
            <w:vAlign w:val="center"/>
          </w:tcPr>
          <w:p w14:paraId="2129E47E"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3 – LE</w:t>
            </w:r>
          </w:p>
        </w:tc>
        <w:tc>
          <w:tcPr>
            <w:tcW w:w="2219" w:type="dxa"/>
          </w:tcPr>
          <w:p w14:paraId="5F2F814D"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785" w:type="dxa"/>
          </w:tcPr>
          <w:p w14:paraId="3C80446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w:t>
            </w:r>
          </w:p>
        </w:tc>
        <w:tc>
          <w:tcPr>
            <w:tcW w:w="1785" w:type="dxa"/>
          </w:tcPr>
          <w:p w14:paraId="1FCD3707"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22</w:t>
            </w:r>
          </w:p>
        </w:tc>
        <w:tc>
          <w:tcPr>
            <w:tcW w:w="1781" w:type="dxa"/>
          </w:tcPr>
          <w:p w14:paraId="1EC4DAF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26</w:t>
            </w:r>
          </w:p>
        </w:tc>
      </w:tr>
      <w:tr w:rsidR="00C7410A" w:rsidRPr="00C7410A" w14:paraId="4823A740" w14:textId="77777777" w:rsidTr="00F35B58">
        <w:trPr>
          <w:trHeight w:val="255"/>
        </w:trPr>
        <w:tc>
          <w:tcPr>
            <w:tcW w:w="2068" w:type="dxa"/>
            <w:vMerge/>
            <w:vAlign w:val="center"/>
          </w:tcPr>
          <w:p w14:paraId="5F454A38"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2219" w:type="dxa"/>
          </w:tcPr>
          <w:p w14:paraId="003D4115"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785" w:type="dxa"/>
          </w:tcPr>
          <w:p w14:paraId="48F66F7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15.4%</w:t>
            </w:r>
          </w:p>
        </w:tc>
        <w:tc>
          <w:tcPr>
            <w:tcW w:w="1785" w:type="dxa"/>
          </w:tcPr>
          <w:p w14:paraId="311DE6F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84.6%</w:t>
            </w:r>
          </w:p>
        </w:tc>
        <w:tc>
          <w:tcPr>
            <w:tcW w:w="1781" w:type="dxa"/>
          </w:tcPr>
          <w:p w14:paraId="6333753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2356A2F0" w14:textId="77777777" w:rsidTr="00F35B58">
        <w:trPr>
          <w:trHeight w:val="255"/>
        </w:trPr>
        <w:tc>
          <w:tcPr>
            <w:tcW w:w="2068" w:type="dxa"/>
            <w:vMerge w:val="restart"/>
            <w:vAlign w:val="center"/>
          </w:tcPr>
          <w:p w14:paraId="1AD422E9"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4 – HEM</w:t>
            </w:r>
          </w:p>
        </w:tc>
        <w:tc>
          <w:tcPr>
            <w:tcW w:w="2219" w:type="dxa"/>
          </w:tcPr>
          <w:p w14:paraId="574C0442"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785" w:type="dxa"/>
          </w:tcPr>
          <w:p w14:paraId="1A4C39F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12</w:t>
            </w:r>
          </w:p>
        </w:tc>
        <w:tc>
          <w:tcPr>
            <w:tcW w:w="1785" w:type="dxa"/>
          </w:tcPr>
          <w:p w14:paraId="7959427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29</w:t>
            </w:r>
          </w:p>
        </w:tc>
        <w:tc>
          <w:tcPr>
            <w:tcW w:w="1781" w:type="dxa"/>
          </w:tcPr>
          <w:p w14:paraId="70590D0D"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41</w:t>
            </w:r>
          </w:p>
        </w:tc>
      </w:tr>
      <w:tr w:rsidR="00C7410A" w:rsidRPr="00C7410A" w14:paraId="4FC792D6" w14:textId="77777777" w:rsidTr="00F35B58">
        <w:trPr>
          <w:trHeight w:val="255"/>
        </w:trPr>
        <w:tc>
          <w:tcPr>
            <w:tcW w:w="2068" w:type="dxa"/>
            <w:vMerge/>
            <w:vAlign w:val="center"/>
          </w:tcPr>
          <w:p w14:paraId="4DB5845D"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2219" w:type="dxa"/>
          </w:tcPr>
          <w:p w14:paraId="47A3BFF2"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785" w:type="dxa"/>
          </w:tcPr>
          <w:p w14:paraId="700790C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29.3%</w:t>
            </w:r>
          </w:p>
        </w:tc>
        <w:tc>
          <w:tcPr>
            <w:tcW w:w="1785" w:type="dxa"/>
          </w:tcPr>
          <w:p w14:paraId="6D4A621B"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70.7%</w:t>
            </w:r>
          </w:p>
        </w:tc>
        <w:tc>
          <w:tcPr>
            <w:tcW w:w="1781" w:type="dxa"/>
          </w:tcPr>
          <w:p w14:paraId="59A2A60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5D1778CE" w14:textId="77777777" w:rsidTr="00F35B58">
        <w:trPr>
          <w:trHeight w:val="255"/>
        </w:trPr>
        <w:tc>
          <w:tcPr>
            <w:tcW w:w="2068" w:type="dxa"/>
            <w:vMerge w:val="restart"/>
            <w:vAlign w:val="center"/>
          </w:tcPr>
          <w:p w14:paraId="3658FC1A"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5 – MEM</w:t>
            </w:r>
          </w:p>
        </w:tc>
        <w:tc>
          <w:tcPr>
            <w:tcW w:w="2219" w:type="dxa"/>
          </w:tcPr>
          <w:p w14:paraId="0ECC3B8D"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785" w:type="dxa"/>
          </w:tcPr>
          <w:p w14:paraId="4C155C5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9</w:t>
            </w:r>
          </w:p>
        </w:tc>
        <w:tc>
          <w:tcPr>
            <w:tcW w:w="1785" w:type="dxa"/>
          </w:tcPr>
          <w:p w14:paraId="6A84B12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40</w:t>
            </w:r>
          </w:p>
        </w:tc>
        <w:tc>
          <w:tcPr>
            <w:tcW w:w="1781" w:type="dxa"/>
          </w:tcPr>
          <w:p w14:paraId="7F8CF17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49</w:t>
            </w:r>
          </w:p>
        </w:tc>
      </w:tr>
      <w:tr w:rsidR="00C7410A" w:rsidRPr="00C7410A" w14:paraId="4ACA2049" w14:textId="77777777" w:rsidTr="00F35B58">
        <w:trPr>
          <w:trHeight w:val="255"/>
        </w:trPr>
        <w:tc>
          <w:tcPr>
            <w:tcW w:w="2068" w:type="dxa"/>
            <w:vMerge/>
            <w:vAlign w:val="center"/>
          </w:tcPr>
          <w:p w14:paraId="6882614F"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2219" w:type="dxa"/>
          </w:tcPr>
          <w:p w14:paraId="6CDBF1CF"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785" w:type="dxa"/>
          </w:tcPr>
          <w:p w14:paraId="4CD8716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18.4%</w:t>
            </w:r>
          </w:p>
        </w:tc>
        <w:tc>
          <w:tcPr>
            <w:tcW w:w="1785" w:type="dxa"/>
          </w:tcPr>
          <w:p w14:paraId="2684841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81.6%</w:t>
            </w:r>
          </w:p>
        </w:tc>
        <w:tc>
          <w:tcPr>
            <w:tcW w:w="1781" w:type="dxa"/>
          </w:tcPr>
          <w:p w14:paraId="44CB6AB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480D6D96" w14:textId="77777777" w:rsidTr="00F35B58">
        <w:trPr>
          <w:trHeight w:val="255"/>
        </w:trPr>
        <w:tc>
          <w:tcPr>
            <w:tcW w:w="2068" w:type="dxa"/>
            <w:vMerge w:val="restart"/>
            <w:vAlign w:val="center"/>
          </w:tcPr>
          <w:p w14:paraId="47456BA2"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Total</w:t>
            </w:r>
          </w:p>
        </w:tc>
        <w:tc>
          <w:tcPr>
            <w:tcW w:w="2219" w:type="dxa"/>
          </w:tcPr>
          <w:p w14:paraId="4D3EFAE5"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785" w:type="dxa"/>
          </w:tcPr>
          <w:p w14:paraId="042C034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49</w:t>
            </w:r>
          </w:p>
        </w:tc>
        <w:tc>
          <w:tcPr>
            <w:tcW w:w="1785" w:type="dxa"/>
          </w:tcPr>
          <w:p w14:paraId="278582D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151</w:t>
            </w:r>
          </w:p>
        </w:tc>
        <w:tc>
          <w:tcPr>
            <w:tcW w:w="1781" w:type="dxa"/>
          </w:tcPr>
          <w:p w14:paraId="47F9751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200</w:t>
            </w:r>
          </w:p>
        </w:tc>
      </w:tr>
      <w:tr w:rsidR="00C7410A" w:rsidRPr="00C7410A" w14:paraId="6370ED0A" w14:textId="77777777" w:rsidTr="00F35B58">
        <w:trPr>
          <w:trHeight w:val="255"/>
        </w:trPr>
        <w:tc>
          <w:tcPr>
            <w:tcW w:w="2068" w:type="dxa"/>
            <w:vMerge/>
            <w:vAlign w:val="center"/>
          </w:tcPr>
          <w:p w14:paraId="4631EDDB"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2219" w:type="dxa"/>
          </w:tcPr>
          <w:p w14:paraId="047EC6A6"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785" w:type="dxa"/>
          </w:tcPr>
          <w:p w14:paraId="0E978AD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24.5%</w:t>
            </w:r>
          </w:p>
        </w:tc>
        <w:tc>
          <w:tcPr>
            <w:tcW w:w="1785" w:type="dxa"/>
          </w:tcPr>
          <w:p w14:paraId="66B677AD"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75.5%</w:t>
            </w:r>
          </w:p>
        </w:tc>
        <w:tc>
          <w:tcPr>
            <w:tcW w:w="1781" w:type="dxa"/>
          </w:tcPr>
          <w:p w14:paraId="011A27A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5933A64E" w14:textId="77777777" w:rsidTr="00F35B58">
        <w:trPr>
          <w:trHeight w:val="300"/>
        </w:trPr>
        <w:tc>
          <w:tcPr>
            <w:tcW w:w="9638" w:type="dxa"/>
            <w:gridSpan w:val="5"/>
            <w:vAlign w:val="center"/>
          </w:tcPr>
          <w:p w14:paraId="7E4286A0"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Pearson’s Chi-Square</w:t>
            </w:r>
            <w:r w:rsidRPr="00C7410A">
              <w:rPr>
                <w:rFonts w:ascii="Times New Roman" w:eastAsia="Times New Roman" w:hAnsi="Times New Roman" w:cs="Times New Roman"/>
                <w:sz w:val="24"/>
                <w:szCs w:val="24"/>
                <w:lang w:val="en-GB"/>
              </w:rPr>
              <w:t xml:space="preserve"> </w:t>
            </w:r>
            <w:r w:rsidRPr="00C7410A">
              <w:rPr>
                <w:rFonts w:ascii="Times New Roman" w:eastAsia="Times New Roman" w:hAnsi="Times New Roman" w:cs="Times New Roman"/>
                <w:sz w:val="20"/>
                <w:szCs w:val="20"/>
                <w:lang w:val="en-GB"/>
              </w:rPr>
              <w:t>p-value = 0.012</w:t>
            </w:r>
          </w:p>
        </w:tc>
      </w:tr>
    </w:tbl>
    <w:p w14:paraId="2D7FD3AE"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 xml:space="preserve">Source: Field Survey </w:t>
      </w:r>
    </w:p>
    <w:p w14:paraId="1BE88FC8" w14:textId="77777777" w:rsidR="00C7410A" w:rsidRPr="00C7410A" w:rsidRDefault="00C7410A" w:rsidP="00F740A7">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lang w:val="en-GB"/>
        </w:rPr>
      </w:pPr>
    </w:p>
    <w:p w14:paraId="43E0AFC4" w14:textId="77777777" w:rsidR="00C7410A" w:rsidRPr="00C7410A" w:rsidRDefault="00C7410A" w:rsidP="00F740A7">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Most consumers are not aware of HACCP, but they tend to be more familiar with ISO – consumers’ clusters with university education appear more informed about both HACCP and ISO when compared to other (less educated) consumer clusters).</w:t>
      </w:r>
    </w:p>
    <w:p w14:paraId="1DC3D051" w14:textId="77777777" w:rsidR="00C7410A" w:rsidRPr="00C7410A" w:rsidRDefault="00C7410A" w:rsidP="00F740A7">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b/>
          <w:color w:val="000000"/>
          <w:sz w:val="24"/>
          <w:szCs w:val="24"/>
          <w:lang w:val="en-GB"/>
        </w:rPr>
        <w:t>Table 5</w:t>
      </w:r>
      <w:r w:rsidRPr="00C7410A">
        <w:rPr>
          <w:rFonts w:ascii="Times New Roman" w:eastAsia="Times New Roman" w:hAnsi="Times New Roman" w:cs="Times New Roman"/>
          <w:color w:val="000000"/>
          <w:sz w:val="24"/>
          <w:szCs w:val="24"/>
          <w:lang w:val="en-GB"/>
        </w:rPr>
        <w:t>: Answer to the question “do you know/are you aware of ISO and HACCP?”</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6"/>
        <w:gridCol w:w="1501"/>
        <w:gridCol w:w="1218"/>
        <w:gridCol w:w="1190"/>
        <w:gridCol w:w="994"/>
        <w:gridCol w:w="1326"/>
        <w:gridCol w:w="1170"/>
        <w:gridCol w:w="821"/>
      </w:tblGrid>
      <w:tr w:rsidR="00C7410A" w:rsidRPr="00C7410A" w14:paraId="2B43A8A3" w14:textId="77777777" w:rsidTr="00F35B58">
        <w:trPr>
          <w:trHeight w:val="346"/>
        </w:trPr>
        <w:tc>
          <w:tcPr>
            <w:tcW w:w="1416" w:type="dxa"/>
            <w:vMerge w:val="restart"/>
            <w:shd w:val="clear" w:color="auto" w:fill="auto"/>
            <w:vAlign w:val="center"/>
          </w:tcPr>
          <w:p w14:paraId="7C1B6C4B"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w:t>
            </w:r>
          </w:p>
        </w:tc>
        <w:tc>
          <w:tcPr>
            <w:tcW w:w="1501" w:type="dxa"/>
            <w:vMerge w:val="restart"/>
            <w:shd w:val="clear" w:color="auto" w:fill="auto"/>
            <w:vAlign w:val="center"/>
          </w:tcPr>
          <w:p w14:paraId="43167447"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Indicator</w:t>
            </w:r>
          </w:p>
        </w:tc>
        <w:tc>
          <w:tcPr>
            <w:tcW w:w="3402" w:type="dxa"/>
            <w:gridSpan w:val="3"/>
            <w:shd w:val="clear" w:color="auto" w:fill="auto"/>
            <w:vAlign w:val="center"/>
          </w:tcPr>
          <w:p w14:paraId="4F77AB86"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HACCP</w:t>
            </w:r>
          </w:p>
        </w:tc>
        <w:tc>
          <w:tcPr>
            <w:tcW w:w="3317" w:type="dxa"/>
            <w:gridSpan w:val="3"/>
            <w:shd w:val="clear" w:color="auto" w:fill="auto"/>
            <w:vAlign w:val="center"/>
          </w:tcPr>
          <w:p w14:paraId="3CFC0474"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ISO</w:t>
            </w:r>
          </w:p>
        </w:tc>
      </w:tr>
      <w:tr w:rsidR="00C7410A" w:rsidRPr="00C7410A" w14:paraId="338D03A5" w14:textId="77777777" w:rsidTr="00F35B58">
        <w:trPr>
          <w:trHeight w:val="288"/>
        </w:trPr>
        <w:tc>
          <w:tcPr>
            <w:tcW w:w="1416" w:type="dxa"/>
            <w:vMerge/>
            <w:shd w:val="clear" w:color="auto" w:fill="auto"/>
            <w:vAlign w:val="center"/>
          </w:tcPr>
          <w:p w14:paraId="5DA94E87"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1501" w:type="dxa"/>
            <w:vMerge/>
            <w:shd w:val="clear" w:color="auto" w:fill="auto"/>
            <w:vAlign w:val="center"/>
          </w:tcPr>
          <w:p w14:paraId="43367EAA"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1218" w:type="dxa"/>
            <w:shd w:val="clear" w:color="auto" w:fill="auto"/>
            <w:vAlign w:val="center"/>
          </w:tcPr>
          <w:p w14:paraId="1CA60FA2"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Yes</w:t>
            </w:r>
          </w:p>
        </w:tc>
        <w:tc>
          <w:tcPr>
            <w:tcW w:w="1190" w:type="dxa"/>
            <w:shd w:val="clear" w:color="auto" w:fill="auto"/>
            <w:vAlign w:val="center"/>
          </w:tcPr>
          <w:p w14:paraId="29B28575"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No</w:t>
            </w:r>
          </w:p>
        </w:tc>
        <w:tc>
          <w:tcPr>
            <w:tcW w:w="994" w:type="dxa"/>
            <w:shd w:val="clear" w:color="auto" w:fill="auto"/>
            <w:vAlign w:val="center"/>
          </w:tcPr>
          <w:p w14:paraId="40B6978B"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Total</w:t>
            </w:r>
          </w:p>
        </w:tc>
        <w:tc>
          <w:tcPr>
            <w:tcW w:w="1326" w:type="dxa"/>
            <w:shd w:val="clear" w:color="auto" w:fill="auto"/>
            <w:vAlign w:val="center"/>
          </w:tcPr>
          <w:p w14:paraId="37E0989F"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Yes</w:t>
            </w:r>
          </w:p>
        </w:tc>
        <w:tc>
          <w:tcPr>
            <w:tcW w:w="1170" w:type="dxa"/>
            <w:shd w:val="clear" w:color="auto" w:fill="auto"/>
            <w:vAlign w:val="center"/>
          </w:tcPr>
          <w:p w14:paraId="3E4BDF88" w14:textId="77777777" w:rsidR="00C7410A" w:rsidRPr="00C7410A" w:rsidRDefault="00C7410A" w:rsidP="00F740A7">
            <w:pPr>
              <w:spacing w:after="0" w:line="276" w:lineRule="auto"/>
              <w:jc w:val="center"/>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No</w:t>
            </w:r>
          </w:p>
        </w:tc>
        <w:tc>
          <w:tcPr>
            <w:tcW w:w="821" w:type="dxa"/>
            <w:shd w:val="clear" w:color="auto" w:fill="auto"/>
            <w:vAlign w:val="center"/>
          </w:tcPr>
          <w:p w14:paraId="7FCB4117"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Total</w:t>
            </w:r>
          </w:p>
        </w:tc>
      </w:tr>
      <w:tr w:rsidR="00C7410A" w:rsidRPr="00C7410A" w14:paraId="0669261E" w14:textId="77777777" w:rsidTr="00F35B58">
        <w:trPr>
          <w:trHeight w:val="288"/>
        </w:trPr>
        <w:tc>
          <w:tcPr>
            <w:tcW w:w="1416" w:type="dxa"/>
            <w:vMerge w:val="restart"/>
            <w:shd w:val="clear" w:color="auto" w:fill="auto"/>
            <w:vAlign w:val="center"/>
          </w:tcPr>
          <w:p w14:paraId="43D1A72F"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1</w:t>
            </w:r>
          </w:p>
        </w:tc>
        <w:tc>
          <w:tcPr>
            <w:tcW w:w="1501" w:type="dxa"/>
            <w:shd w:val="clear" w:color="auto" w:fill="auto"/>
            <w:vAlign w:val="center"/>
          </w:tcPr>
          <w:p w14:paraId="5D079289"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218" w:type="dxa"/>
            <w:shd w:val="clear" w:color="auto" w:fill="auto"/>
            <w:vAlign w:val="center"/>
          </w:tcPr>
          <w:p w14:paraId="068D712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w:t>
            </w:r>
          </w:p>
        </w:tc>
        <w:tc>
          <w:tcPr>
            <w:tcW w:w="1190" w:type="dxa"/>
            <w:shd w:val="clear" w:color="auto" w:fill="auto"/>
            <w:vAlign w:val="center"/>
          </w:tcPr>
          <w:p w14:paraId="7B3AC7C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33</w:t>
            </w:r>
          </w:p>
        </w:tc>
        <w:tc>
          <w:tcPr>
            <w:tcW w:w="994" w:type="dxa"/>
            <w:shd w:val="clear" w:color="auto" w:fill="auto"/>
            <w:vAlign w:val="center"/>
          </w:tcPr>
          <w:p w14:paraId="190ED24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35</w:t>
            </w:r>
          </w:p>
        </w:tc>
        <w:tc>
          <w:tcPr>
            <w:tcW w:w="1326" w:type="dxa"/>
            <w:shd w:val="clear" w:color="auto" w:fill="auto"/>
            <w:vAlign w:val="center"/>
          </w:tcPr>
          <w:p w14:paraId="68A564B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16</w:t>
            </w:r>
          </w:p>
        </w:tc>
        <w:tc>
          <w:tcPr>
            <w:tcW w:w="1170" w:type="dxa"/>
            <w:shd w:val="clear" w:color="auto" w:fill="auto"/>
            <w:vAlign w:val="center"/>
          </w:tcPr>
          <w:p w14:paraId="2C160E3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19</w:t>
            </w:r>
          </w:p>
        </w:tc>
        <w:tc>
          <w:tcPr>
            <w:tcW w:w="821" w:type="dxa"/>
            <w:shd w:val="clear" w:color="auto" w:fill="auto"/>
            <w:vAlign w:val="center"/>
          </w:tcPr>
          <w:p w14:paraId="652CE56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35</w:t>
            </w:r>
          </w:p>
        </w:tc>
      </w:tr>
      <w:tr w:rsidR="00C7410A" w:rsidRPr="00C7410A" w14:paraId="3FFBC3DD" w14:textId="77777777" w:rsidTr="00F35B58">
        <w:trPr>
          <w:trHeight w:val="288"/>
        </w:trPr>
        <w:tc>
          <w:tcPr>
            <w:tcW w:w="1416" w:type="dxa"/>
            <w:vMerge/>
            <w:shd w:val="clear" w:color="auto" w:fill="auto"/>
            <w:vAlign w:val="center"/>
          </w:tcPr>
          <w:p w14:paraId="0AE7F8E3"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1501" w:type="dxa"/>
            <w:shd w:val="clear" w:color="auto" w:fill="auto"/>
            <w:vAlign w:val="center"/>
          </w:tcPr>
          <w:p w14:paraId="0043C17C"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218" w:type="dxa"/>
            <w:shd w:val="clear" w:color="auto" w:fill="auto"/>
            <w:vAlign w:val="center"/>
          </w:tcPr>
          <w:p w14:paraId="42625B2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6%</w:t>
            </w:r>
          </w:p>
        </w:tc>
        <w:tc>
          <w:tcPr>
            <w:tcW w:w="1190" w:type="dxa"/>
            <w:shd w:val="clear" w:color="auto" w:fill="auto"/>
            <w:vAlign w:val="center"/>
          </w:tcPr>
          <w:p w14:paraId="5250E93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94%</w:t>
            </w:r>
          </w:p>
        </w:tc>
        <w:tc>
          <w:tcPr>
            <w:tcW w:w="994" w:type="dxa"/>
            <w:shd w:val="clear" w:color="auto" w:fill="auto"/>
            <w:vAlign w:val="center"/>
          </w:tcPr>
          <w:p w14:paraId="050F2A9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c>
          <w:tcPr>
            <w:tcW w:w="1326" w:type="dxa"/>
            <w:shd w:val="clear" w:color="auto" w:fill="auto"/>
            <w:vAlign w:val="center"/>
          </w:tcPr>
          <w:p w14:paraId="31E0926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46%</w:t>
            </w:r>
          </w:p>
        </w:tc>
        <w:tc>
          <w:tcPr>
            <w:tcW w:w="1170" w:type="dxa"/>
            <w:shd w:val="clear" w:color="auto" w:fill="auto"/>
            <w:vAlign w:val="center"/>
          </w:tcPr>
          <w:p w14:paraId="0F5D6D2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54%</w:t>
            </w:r>
          </w:p>
        </w:tc>
        <w:tc>
          <w:tcPr>
            <w:tcW w:w="821" w:type="dxa"/>
            <w:shd w:val="clear" w:color="auto" w:fill="auto"/>
            <w:vAlign w:val="center"/>
          </w:tcPr>
          <w:p w14:paraId="0E326FE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034C09AB" w14:textId="77777777" w:rsidTr="00F35B58">
        <w:trPr>
          <w:trHeight w:val="288"/>
        </w:trPr>
        <w:tc>
          <w:tcPr>
            <w:tcW w:w="1416" w:type="dxa"/>
            <w:vMerge w:val="restart"/>
            <w:shd w:val="clear" w:color="auto" w:fill="auto"/>
            <w:vAlign w:val="center"/>
          </w:tcPr>
          <w:p w14:paraId="3895D20C"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2</w:t>
            </w:r>
          </w:p>
        </w:tc>
        <w:tc>
          <w:tcPr>
            <w:tcW w:w="1501" w:type="dxa"/>
            <w:shd w:val="clear" w:color="auto" w:fill="auto"/>
            <w:vAlign w:val="center"/>
          </w:tcPr>
          <w:p w14:paraId="66A7EB40"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218" w:type="dxa"/>
            <w:shd w:val="clear" w:color="auto" w:fill="auto"/>
            <w:vAlign w:val="center"/>
          </w:tcPr>
          <w:p w14:paraId="52F8EEB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22</w:t>
            </w:r>
          </w:p>
        </w:tc>
        <w:tc>
          <w:tcPr>
            <w:tcW w:w="1190" w:type="dxa"/>
            <w:shd w:val="clear" w:color="auto" w:fill="auto"/>
            <w:vAlign w:val="center"/>
          </w:tcPr>
          <w:p w14:paraId="32EB7F2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27</w:t>
            </w:r>
          </w:p>
        </w:tc>
        <w:tc>
          <w:tcPr>
            <w:tcW w:w="994" w:type="dxa"/>
            <w:shd w:val="clear" w:color="auto" w:fill="auto"/>
            <w:vAlign w:val="center"/>
          </w:tcPr>
          <w:p w14:paraId="0F79173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49</w:t>
            </w:r>
          </w:p>
        </w:tc>
        <w:tc>
          <w:tcPr>
            <w:tcW w:w="1326" w:type="dxa"/>
            <w:shd w:val="clear" w:color="auto" w:fill="auto"/>
            <w:vAlign w:val="center"/>
          </w:tcPr>
          <w:p w14:paraId="337C66FB"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36</w:t>
            </w:r>
          </w:p>
        </w:tc>
        <w:tc>
          <w:tcPr>
            <w:tcW w:w="1170" w:type="dxa"/>
            <w:shd w:val="clear" w:color="auto" w:fill="auto"/>
            <w:vAlign w:val="center"/>
          </w:tcPr>
          <w:p w14:paraId="4687886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13</w:t>
            </w:r>
          </w:p>
        </w:tc>
        <w:tc>
          <w:tcPr>
            <w:tcW w:w="821" w:type="dxa"/>
            <w:shd w:val="clear" w:color="auto" w:fill="auto"/>
            <w:vAlign w:val="center"/>
          </w:tcPr>
          <w:p w14:paraId="5888630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49</w:t>
            </w:r>
          </w:p>
        </w:tc>
      </w:tr>
      <w:tr w:rsidR="00C7410A" w:rsidRPr="00C7410A" w14:paraId="16A119EB" w14:textId="77777777" w:rsidTr="00F35B58">
        <w:trPr>
          <w:trHeight w:val="288"/>
        </w:trPr>
        <w:tc>
          <w:tcPr>
            <w:tcW w:w="1416" w:type="dxa"/>
            <w:vMerge/>
            <w:shd w:val="clear" w:color="auto" w:fill="auto"/>
            <w:vAlign w:val="center"/>
          </w:tcPr>
          <w:p w14:paraId="171B9DD8"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1501" w:type="dxa"/>
            <w:shd w:val="clear" w:color="auto" w:fill="auto"/>
            <w:vAlign w:val="center"/>
          </w:tcPr>
          <w:p w14:paraId="19832E35"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218" w:type="dxa"/>
            <w:shd w:val="clear" w:color="auto" w:fill="auto"/>
            <w:vAlign w:val="center"/>
          </w:tcPr>
          <w:p w14:paraId="58905D5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45%</w:t>
            </w:r>
          </w:p>
        </w:tc>
        <w:tc>
          <w:tcPr>
            <w:tcW w:w="1190" w:type="dxa"/>
            <w:shd w:val="clear" w:color="auto" w:fill="auto"/>
            <w:vAlign w:val="center"/>
          </w:tcPr>
          <w:p w14:paraId="355A251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55%</w:t>
            </w:r>
          </w:p>
        </w:tc>
        <w:tc>
          <w:tcPr>
            <w:tcW w:w="994" w:type="dxa"/>
            <w:shd w:val="clear" w:color="auto" w:fill="auto"/>
            <w:vAlign w:val="center"/>
          </w:tcPr>
          <w:p w14:paraId="5E4D52D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c>
          <w:tcPr>
            <w:tcW w:w="1326" w:type="dxa"/>
            <w:shd w:val="clear" w:color="auto" w:fill="auto"/>
            <w:vAlign w:val="center"/>
          </w:tcPr>
          <w:p w14:paraId="5771105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73%</w:t>
            </w:r>
          </w:p>
        </w:tc>
        <w:tc>
          <w:tcPr>
            <w:tcW w:w="1170" w:type="dxa"/>
            <w:shd w:val="clear" w:color="auto" w:fill="auto"/>
            <w:vAlign w:val="center"/>
          </w:tcPr>
          <w:p w14:paraId="278D104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27%</w:t>
            </w:r>
          </w:p>
        </w:tc>
        <w:tc>
          <w:tcPr>
            <w:tcW w:w="821" w:type="dxa"/>
            <w:shd w:val="clear" w:color="auto" w:fill="auto"/>
            <w:vAlign w:val="center"/>
          </w:tcPr>
          <w:p w14:paraId="69B66DD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4AEFABD4" w14:textId="77777777" w:rsidTr="00F35B58">
        <w:trPr>
          <w:trHeight w:val="288"/>
        </w:trPr>
        <w:tc>
          <w:tcPr>
            <w:tcW w:w="1416" w:type="dxa"/>
            <w:vMerge w:val="restart"/>
            <w:shd w:val="clear" w:color="auto" w:fill="auto"/>
            <w:vAlign w:val="center"/>
          </w:tcPr>
          <w:p w14:paraId="3D6BF80E"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3</w:t>
            </w:r>
          </w:p>
        </w:tc>
        <w:tc>
          <w:tcPr>
            <w:tcW w:w="1501" w:type="dxa"/>
            <w:shd w:val="clear" w:color="auto" w:fill="auto"/>
            <w:vAlign w:val="center"/>
          </w:tcPr>
          <w:p w14:paraId="721806F3"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218" w:type="dxa"/>
            <w:shd w:val="clear" w:color="auto" w:fill="auto"/>
            <w:vAlign w:val="center"/>
          </w:tcPr>
          <w:p w14:paraId="1ECF9EA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w:t>
            </w:r>
          </w:p>
        </w:tc>
        <w:tc>
          <w:tcPr>
            <w:tcW w:w="1190" w:type="dxa"/>
            <w:shd w:val="clear" w:color="auto" w:fill="auto"/>
            <w:vAlign w:val="center"/>
          </w:tcPr>
          <w:p w14:paraId="1E052DD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25</w:t>
            </w:r>
          </w:p>
        </w:tc>
        <w:tc>
          <w:tcPr>
            <w:tcW w:w="994" w:type="dxa"/>
            <w:shd w:val="clear" w:color="auto" w:fill="auto"/>
            <w:vAlign w:val="center"/>
          </w:tcPr>
          <w:p w14:paraId="47BBDF5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26</w:t>
            </w:r>
          </w:p>
        </w:tc>
        <w:tc>
          <w:tcPr>
            <w:tcW w:w="1326" w:type="dxa"/>
            <w:shd w:val="clear" w:color="auto" w:fill="auto"/>
            <w:vAlign w:val="center"/>
          </w:tcPr>
          <w:p w14:paraId="0D74688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w:t>
            </w:r>
          </w:p>
        </w:tc>
        <w:tc>
          <w:tcPr>
            <w:tcW w:w="1170" w:type="dxa"/>
            <w:shd w:val="clear" w:color="auto" w:fill="auto"/>
            <w:vAlign w:val="center"/>
          </w:tcPr>
          <w:p w14:paraId="45DA949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22</w:t>
            </w:r>
          </w:p>
        </w:tc>
        <w:tc>
          <w:tcPr>
            <w:tcW w:w="821" w:type="dxa"/>
            <w:shd w:val="clear" w:color="auto" w:fill="auto"/>
            <w:vAlign w:val="center"/>
          </w:tcPr>
          <w:p w14:paraId="6D82B892"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26</w:t>
            </w:r>
          </w:p>
        </w:tc>
      </w:tr>
      <w:tr w:rsidR="00C7410A" w:rsidRPr="00C7410A" w14:paraId="0308E1C3" w14:textId="77777777" w:rsidTr="00F35B58">
        <w:trPr>
          <w:trHeight w:val="288"/>
        </w:trPr>
        <w:tc>
          <w:tcPr>
            <w:tcW w:w="1416" w:type="dxa"/>
            <w:vMerge/>
            <w:shd w:val="clear" w:color="auto" w:fill="auto"/>
            <w:vAlign w:val="center"/>
          </w:tcPr>
          <w:p w14:paraId="679FC858"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1501" w:type="dxa"/>
            <w:shd w:val="clear" w:color="auto" w:fill="auto"/>
            <w:vAlign w:val="center"/>
          </w:tcPr>
          <w:p w14:paraId="77D5BA1F"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218" w:type="dxa"/>
            <w:shd w:val="clear" w:color="auto" w:fill="auto"/>
            <w:vAlign w:val="center"/>
          </w:tcPr>
          <w:p w14:paraId="5D52358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w:t>
            </w:r>
          </w:p>
        </w:tc>
        <w:tc>
          <w:tcPr>
            <w:tcW w:w="1190" w:type="dxa"/>
            <w:shd w:val="clear" w:color="auto" w:fill="auto"/>
            <w:vAlign w:val="center"/>
          </w:tcPr>
          <w:p w14:paraId="35DBE557"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96%</w:t>
            </w:r>
          </w:p>
        </w:tc>
        <w:tc>
          <w:tcPr>
            <w:tcW w:w="994" w:type="dxa"/>
            <w:shd w:val="clear" w:color="auto" w:fill="auto"/>
            <w:vAlign w:val="center"/>
          </w:tcPr>
          <w:p w14:paraId="4FFA130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c>
          <w:tcPr>
            <w:tcW w:w="1326" w:type="dxa"/>
            <w:shd w:val="clear" w:color="auto" w:fill="auto"/>
            <w:vAlign w:val="center"/>
          </w:tcPr>
          <w:p w14:paraId="47B88D8B"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15%</w:t>
            </w:r>
          </w:p>
        </w:tc>
        <w:tc>
          <w:tcPr>
            <w:tcW w:w="1170" w:type="dxa"/>
            <w:shd w:val="clear" w:color="auto" w:fill="auto"/>
            <w:vAlign w:val="center"/>
          </w:tcPr>
          <w:p w14:paraId="0E1AE87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85%</w:t>
            </w:r>
          </w:p>
        </w:tc>
        <w:tc>
          <w:tcPr>
            <w:tcW w:w="821" w:type="dxa"/>
            <w:shd w:val="clear" w:color="auto" w:fill="auto"/>
            <w:vAlign w:val="center"/>
          </w:tcPr>
          <w:p w14:paraId="3954BDF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10F149B0" w14:textId="77777777" w:rsidTr="00F35B58">
        <w:trPr>
          <w:trHeight w:val="288"/>
        </w:trPr>
        <w:tc>
          <w:tcPr>
            <w:tcW w:w="1416" w:type="dxa"/>
            <w:vMerge w:val="restart"/>
            <w:shd w:val="clear" w:color="auto" w:fill="auto"/>
            <w:vAlign w:val="center"/>
          </w:tcPr>
          <w:p w14:paraId="06C9A353"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4</w:t>
            </w:r>
          </w:p>
        </w:tc>
        <w:tc>
          <w:tcPr>
            <w:tcW w:w="1501" w:type="dxa"/>
            <w:shd w:val="clear" w:color="auto" w:fill="auto"/>
            <w:vAlign w:val="center"/>
          </w:tcPr>
          <w:p w14:paraId="008B6473"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218" w:type="dxa"/>
            <w:shd w:val="clear" w:color="auto" w:fill="auto"/>
            <w:vAlign w:val="center"/>
          </w:tcPr>
          <w:p w14:paraId="7E994A3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19</w:t>
            </w:r>
          </w:p>
        </w:tc>
        <w:tc>
          <w:tcPr>
            <w:tcW w:w="1190" w:type="dxa"/>
            <w:shd w:val="clear" w:color="auto" w:fill="auto"/>
            <w:vAlign w:val="center"/>
          </w:tcPr>
          <w:p w14:paraId="59C0DE4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22</w:t>
            </w:r>
          </w:p>
        </w:tc>
        <w:tc>
          <w:tcPr>
            <w:tcW w:w="994" w:type="dxa"/>
            <w:shd w:val="clear" w:color="auto" w:fill="auto"/>
            <w:vAlign w:val="center"/>
          </w:tcPr>
          <w:p w14:paraId="571C0E0D"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41</w:t>
            </w:r>
          </w:p>
        </w:tc>
        <w:tc>
          <w:tcPr>
            <w:tcW w:w="1326" w:type="dxa"/>
            <w:shd w:val="clear" w:color="auto" w:fill="auto"/>
            <w:vAlign w:val="center"/>
          </w:tcPr>
          <w:p w14:paraId="6A53F4C4"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28</w:t>
            </w:r>
          </w:p>
        </w:tc>
        <w:tc>
          <w:tcPr>
            <w:tcW w:w="1170" w:type="dxa"/>
            <w:shd w:val="clear" w:color="auto" w:fill="auto"/>
            <w:vAlign w:val="center"/>
          </w:tcPr>
          <w:p w14:paraId="31E2008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13</w:t>
            </w:r>
          </w:p>
        </w:tc>
        <w:tc>
          <w:tcPr>
            <w:tcW w:w="821" w:type="dxa"/>
            <w:shd w:val="clear" w:color="auto" w:fill="auto"/>
            <w:vAlign w:val="center"/>
          </w:tcPr>
          <w:p w14:paraId="463C435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41</w:t>
            </w:r>
          </w:p>
        </w:tc>
      </w:tr>
      <w:tr w:rsidR="00C7410A" w:rsidRPr="00C7410A" w14:paraId="673CCEB1" w14:textId="77777777" w:rsidTr="00F35B58">
        <w:trPr>
          <w:trHeight w:val="288"/>
        </w:trPr>
        <w:tc>
          <w:tcPr>
            <w:tcW w:w="1416" w:type="dxa"/>
            <w:vMerge/>
            <w:shd w:val="clear" w:color="auto" w:fill="auto"/>
            <w:vAlign w:val="center"/>
          </w:tcPr>
          <w:p w14:paraId="13A4A4EE"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1501" w:type="dxa"/>
            <w:shd w:val="clear" w:color="auto" w:fill="auto"/>
            <w:vAlign w:val="center"/>
          </w:tcPr>
          <w:p w14:paraId="2E57F695"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218" w:type="dxa"/>
            <w:shd w:val="clear" w:color="auto" w:fill="auto"/>
            <w:vAlign w:val="center"/>
          </w:tcPr>
          <w:p w14:paraId="7F9B8DD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46%</w:t>
            </w:r>
          </w:p>
        </w:tc>
        <w:tc>
          <w:tcPr>
            <w:tcW w:w="1190" w:type="dxa"/>
            <w:shd w:val="clear" w:color="auto" w:fill="auto"/>
            <w:vAlign w:val="center"/>
          </w:tcPr>
          <w:p w14:paraId="0D9D578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54%</w:t>
            </w:r>
          </w:p>
        </w:tc>
        <w:tc>
          <w:tcPr>
            <w:tcW w:w="994" w:type="dxa"/>
            <w:shd w:val="clear" w:color="auto" w:fill="auto"/>
            <w:vAlign w:val="center"/>
          </w:tcPr>
          <w:p w14:paraId="6833E1E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c>
          <w:tcPr>
            <w:tcW w:w="1326" w:type="dxa"/>
            <w:shd w:val="clear" w:color="auto" w:fill="auto"/>
            <w:vAlign w:val="center"/>
          </w:tcPr>
          <w:p w14:paraId="296F6C6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68%</w:t>
            </w:r>
          </w:p>
        </w:tc>
        <w:tc>
          <w:tcPr>
            <w:tcW w:w="1170" w:type="dxa"/>
            <w:shd w:val="clear" w:color="auto" w:fill="auto"/>
            <w:vAlign w:val="center"/>
          </w:tcPr>
          <w:p w14:paraId="329DCE4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32%</w:t>
            </w:r>
          </w:p>
        </w:tc>
        <w:tc>
          <w:tcPr>
            <w:tcW w:w="821" w:type="dxa"/>
            <w:shd w:val="clear" w:color="auto" w:fill="auto"/>
            <w:vAlign w:val="center"/>
          </w:tcPr>
          <w:p w14:paraId="6AFF8276"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270ED3D4" w14:textId="77777777" w:rsidTr="00F35B58">
        <w:trPr>
          <w:trHeight w:val="288"/>
        </w:trPr>
        <w:tc>
          <w:tcPr>
            <w:tcW w:w="1416" w:type="dxa"/>
            <w:vMerge w:val="restart"/>
            <w:shd w:val="clear" w:color="auto" w:fill="auto"/>
            <w:vAlign w:val="center"/>
          </w:tcPr>
          <w:p w14:paraId="22D256D0"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Cluster 5</w:t>
            </w:r>
          </w:p>
        </w:tc>
        <w:tc>
          <w:tcPr>
            <w:tcW w:w="1501" w:type="dxa"/>
            <w:shd w:val="clear" w:color="auto" w:fill="auto"/>
            <w:vAlign w:val="center"/>
          </w:tcPr>
          <w:p w14:paraId="7A591C5C"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218" w:type="dxa"/>
            <w:shd w:val="clear" w:color="auto" w:fill="auto"/>
            <w:vAlign w:val="center"/>
          </w:tcPr>
          <w:p w14:paraId="47A1FB7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3</w:t>
            </w:r>
          </w:p>
        </w:tc>
        <w:tc>
          <w:tcPr>
            <w:tcW w:w="1190" w:type="dxa"/>
            <w:shd w:val="clear" w:color="auto" w:fill="auto"/>
            <w:vAlign w:val="center"/>
          </w:tcPr>
          <w:p w14:paraId="2C3902C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46</w:t>
            </w:r>
          </w:p>
        </w:tc>
        <w:tc>
          <w:tcPr>
            <w:tcW w:w="994" w:type="dxa"/>
            <w:shd w:val="clear" w:color="auto" w:fill="auto"/>
            <w:vAlign w:val="center"/>
          </w:tcPr>
          <w:p w14:paraId="222CAAD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49</w:t>
            </w:r>
          </w:p>
        </w:tc>
        <w:tc>
          <w:tcPr>
            <w:tcW w:w="1326" w:type="dxa"/>
            <w:shd w:val="clear" w:color="auto" w:fill="auto"/>
            <w:vAlign w:val="center"/>
          </w:tcPr>
          <w:p w14:paraId="26A2E16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22</w:t>
            </w:r>
          </w:p>
        </w:tc>
        <w:tc>
          <w:tcPr>
            <w:tcW w:w="1170" w:type="dxa"/>
            <w:shd w:val="clear" w:color="auto" w:fill="auto"/>
            <w:vAlign w:val="center"/>
          </w:tcPr>
          <w:p w14:paraId="51AF254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27</w:t>
            </w:r>
          </w:p>
        </w:tc>
        <w:tc>
          <w:tcPr>
            <w:tcW w:w="821" w:type="dxa"/>
            <w:shd w:val="clear" w:color="auto" w:fill="auto"/>
            <w:vAlign w:val="center"/>
          </w:tcPr>
          <w:p w14:paraId="4737143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49</w:t>
            </w:r>
          </w:p>
        </w:tc>
      </w:tr>
      <w:tr w:rsidR="00C7410A" w:rsidRPr="00C7410A" w14:paraId="2B7BA7A8" w14:textId="77777777" w:rsidTr="00F35B58">
        <w:trPr>
          <w:trHeight w:val="288"/>
        </w:trPr>
        <w:tc>
          <w:tcPr>
            <w:tcW w:w="1416" w:type="dxa"/>
            <w:vMerge/>
            <w:shd w:val="clear" w:color="auto" w:fill="auto"/>
            <w:vAlign w:val="center"/>
          </w:tcPr>
          <w:p w14:paraId="7EE123AF"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1501" w:type="dxa"/>
            <w:shd w:val="clear" w:color="auto" w:fill="auto"/>
            <w:vAlign w:val="center"/>
          </w:tcPr>
          <w:p w14:paraId="1E22EF35"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218" w:type="dxa"/>
            <w:shd w:val="clear" w:color="auto" w:fill="auto"/>
            <w:vAlign w:val="center"/>
          </w:tcPr>
          <w:p w14:paraId="3D3F76D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6%</w:t>
            </w:r>
          </w:p>
        </w:tc>
        <w:tc>
          <w:tcPr>
            <w:tcW w:w="1190" w:type="dxa"/>
            <w:shd w:val="clear" w:color="auto" w:fill="auto"/>
            <w:vAlign w:val="center"/>
          </w:tcPr>
          <w:p w14:paraId="46BE942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94%</w:t>
            </w:r>
          </w:p>
        </w:tc>
        <w:tc>
          <w:tcPr>
            <w:tcW w:w="994" w:type="dxa"/>
            <w:shd w:val="clear" w:color="auto" w:fill="auto"/>
            <w:vAlign w:val="center"/>
          </w:tcPr>
          <w:p w14:paraId="1846A70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c>
          <w:tcPr>
            <w:tcW w:w="1326" w:type="dxa"/>
            <w:shd w:val="clear" w:color="auto" w:fill="auto"/>
            <w:vAlign w:val="center"/>
          </w:tcPr>
          <w:p w14:paraId="6981E7D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45%</w:t>
            </w:r>
          </w:p>
        </w:tc>
        <w:tc>
          <w:tcPr>
            <w:tcW w:w="1170" w:type="dxa"/>
            <w:shd w:val="clear" w:color="auto" w:fill="auto"/>
            <w:vAlign w:val="center"/>
          </w:tcPr>
          <w:p w14:paraId="37A732F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55%</w:t>
            </w:r>
          </w:p>
        </w:tc>
        <w:tc>
          <w:tcPr>
            <w:tcW w:w="821" w:type="dxa"/>
            <w:shd w:val="clear" w:color="auto" w:fill="auto"/>
            <w:vAlign w:val="center"/>
          </w:tcPr>
          <w:p w14:paraId="2459FE40"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3FE14303" w14:textId="77777777" w:rsidTr="00F35B58">
        <w:trPr>
          <w:trHeight w:val="288"/>
        </w:trPr>
        <w:tc>
          <w:tcPr>
            <w:tcW w:w="1416" w:type="dxa"/>
            <w:vMerge w:val="restart"/>
            <w:shd w:val="clear" w:color="auto" w:fill="auto"/>
            <w:vAlign w:val="center"/>
          </w:tcPr>
          <w:p w14:paraId="41DB99AB"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Total</w:t>
            </w:r>
          </w:p>
        </w:tc>
        <w:tc>
          <w:tcPr>
            <w:tcW w:w="1501" w:type="dxa"/>
            <w:shd w:val="clear" w:color="auto" w:fill="auto"/>
            <w:vAlign w:val="center"/>
          </w:tcPr>
          <w:p w14:paraId="20A31375"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Count</w:t>
            </w:r>
          </w:p>
        </w:tc>
        <w:tc>
          <w:tcPr>
            <w:tcW w:w="1218" w:type="dxa"/>
            <w:shd w:val="clear" w:color="auto" w:fill="auto"/>
            <w:vAlign w:val="center"/>
          </w:tcPr>
          <w:p w14:paraId="2B2E3D4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47</w:t>
            </w:r>
          </w:p>
        </w:tc>
        <w:tc>
          <w:tcPr>
            <w:tcW w:w="1190" w:type="dxa"/>
            <w:shd w:val="clear" w:color="auto" w:fill="auto"/>
            <w:vAlign w:val="center"/>
          </w:tcPr>
          <w:p w14:paraId="27F1BB77"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153</w:t>
            </w:r>
          </w:p>
        </w:tc>
        <w:tc>
          <w:tcPr>
            <w:tcW w:w="994" w:type="dxa"/>
            <w:shd w:val="clear" w:color="auto" w:fill="auto"/>
            <w:vAlign w:val="center"/>
          </w:tcPr>
          <w:p w14:paraId="7FB18291"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200</w:t>
            </w:r>
          </w:p>
        </w:tc>
        <w:tc>
          <w:tcPr>
            <w:tcW w:w="1326" w:type="dxa"/>
            <w:shd w:val="clear" w:color="auto" w:fill="auto"/>
            <w:vAlign w:val="center"/>
          </w:tcPr>
          <w:p w14:paraId="57EAF9AC"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106</w:t>
            </w:r>
          </w:p>
        </w:tc>
        <w:tc>
          <w:tcPr>
            <w:tcW w:w="1170" w:type="dxa"/>
            <w:shd w:val="clear" w:color="auto" w:fill="auto"/>
            <w:vAlign w:val="center"/>
          </w:tcPr>
          <w:p w14:paraId="6C792535"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94</w:t>
            </w:r>
          </w:p>
        </w:tc>
        <w:tc>
          <w:tcPr>
            <w:tcW w:w="821" w:type="dxa"/>
            <w:shd w:val="clear" w:color="auto" w:fill="auto"/>
            <w:vAlign w:val="center"/>
          </w:tcPr>
          <w:p w14:paraId="7E954767"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200</w:t>
            </w:r>
          </w:p>
        </w:tc>
      </w:tr>
      <w:tr w:rsidR="00C7410A" w:rsidRPr="00C7410A" w14:paraId="4581B75B" w14:textId="77777777" w:rsidTr="00F35B58">
        <w:trPr>
          <w:trHeight w:val="288"/>
        </w:trPr>
        <w:tc>
          <w:tcPr>
            <w:tcW w:w="1416" w:type="dxa"/>
            <w:vMerge/>
            <w:shd w:val="clear" w:color="auto" w:fill="auto"/>
            <w:vAlign w:val="center"/>
          </w:tcPr>
          <w:p w14:paraId="3FD4A906" w14:textId="77777777" w:rsidR="00C7410A" w:rsidRPr="00C7410A" w:rsidRDefault="00C7410A" w:rsidP="00F740A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GB"/>
              </w:rPr>
            </w:pPr>
          </w:p>
        </w:tc>
        <w:tc>
          <w:tcPr>
            <w:tcW w:w="1501" w:type="dxa"/>
            <w:shd w:val="clear" w:color="auto" w:fill="auto"/>
            <w:vAlign w:val="center"/>
          </w:tcPr>
          <w:p w14:paraId="5C652A56"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Percentage</w:t>
            </w:r>
          </w:p>
        </w:tc>
        <w:tc>
          <w:tcPr>
            <w:tcW w:w="1218" w:type="dxa"/>
            <w:shd w:val="clear" w:color="auto" w:fill="auto"/>
            <w:vAlign w:val="center"/>
          </w:tcPr>
          <w:p w14:paraId="3016194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24%</w:t>
            </w:r>
          </w:p>
        </w:tc>
        <w:tc>
          <w:tcPr>
            <w:tcW w:w="1190" w:type="dxa"/>
            <w:shd w:val="clear" w:color="auto" w:fill="auto"/>
            <w:vAlign w:val="center"/>
          </w:tcPr>
          <w:p w14:paraId="5AD5AD09"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77%</w:t>
            </w:r>
          </w:p>
        </w:tc>
        <w:tc>
          <w:tcPr>
            <w:tcW w:w="994" w:type="dxa"/>
            <w:shd w:val="clear" w:color="auto" w:fill="auto"/>
            <w:vAlign w:val="center"/>
          </w:tcPr>
          <w:p w14:paraId="525C1B18"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c>
          <w:tcPr>
            <w:tcW w:w="1326" w:type="dxa"/>
            <w:shd w:val="clear" w:color="auto" w:fill="auto"/>
            <w:vAlign w:val="center"/>
          </w:tcPr>
          <w:p w14:paraId="328845FB"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53%</w:t>
            </w:r>
          </w:p>
        </w:tc>
        <w:tc>
          <w:tcPr>
            <w:tcW w:w="1170" w:type="dxa"/>
            <w:shd w:val="clear" w:color="auto" w:fill="auto"/>
            <w:vAlign w:val="center"/>
          </w:tcPr>
          <w:p w14:paraId="30F174FE"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47%</w:t>
            </w:r>
          </w:p>
        </w:tc>
        <w:tc>
          <w:tcPr>
            <w:tcW w:w="821" w:type="dxa"/>
            <w:shd w:val="clear" w:color="auto" w:fill="auto"/>
            <w:vAlign w:val="center"/>
          </w:tcPr>
          <w:p w14:paraId="3A2200B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100%</w:t>
            </w:r>
          </w:p>
        </w:tc>
      </w:tr>
      <w:tr w:rsidR="00C7410A" w:rsidRPr="00C7410A" w14:paraId="662C9D6E" w14:textId="77777777" w:rsidTr="00F35B58">
        <w:trPr>
          <w:trHeight w:val="288"/>
        </w:trPr>
        <w:tc>
          <w:tcPr>
            <w:tcW w:w="2917" w:type="dxa"/>
            <w:gridSpan w:val="2"/>
            <w:vAlign w:val="center"/>
          </w:tcPr>
          <w:p w14:paraId="1C640038" w14:textId="77777777" w:rsidR="00C7410A" w:rsidRPr="00C7410A" w:rsidRDefault="00C7410A" w:rsidP="00F740A7">
            <w:pPr>
              <w:spacing w:after="0" w:line="276" w:lineRule="auto"/>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sz w:val="20"/>
                <w:szCs w:val="20"/>
                <w:lang w:val="en-GB"/>
              </w:rPr>
              <w:t>Pearson’s Chi-Square</w:t>
            </w:r>
            <w:r w:rsidRPr="00C7410A">
              <w:rPr>
                <w:rFonts w:ascii="Times New Roman" w:eastAsia="Times New Roman" w:hAnsi="Times New Roman" w:cs="Times New Roman"/>
                <w:sz w:val="24"/>
                <w:szCs w:val="24"/>
                <w:lang w:val="en-GB"/>
              </w:rPr>
              <w:t xml:space="preserve"> </w:t>
            </w:r>
            <w:r w:rsidRPr="00C7410A">
              <w:rPr>
                <w:rFonts w:ascii="Times New Roman" w:eastAsia="Times New Roman" w:hAnsi="Times New Roman" w:cs="Times New Roman"/>
                <w:sz w:val="20"/>
                <w:szCs w:val="20"/>
                <w:lang w:val="en-GB"/>
              </w:rPr>
              <w:t>p-value</w:t>
            </w:r>
          </w:p>
        </w:tc>
        <w:tc>
          <w:tcPr>
            <w:tcW w:w="3402" w:type="dxa"/>
            <w:gridSpan w:val="3"/>
            <w:shd w:val="clear" w:color="auto" w:fill="auto"/>
            <w:vAlign w:val="center"/>
          </w:tcPr>
          <w:p w14:paraId="436915DF"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r w:rsidRPr="00C7410A">
              <w:rPr>
                <w:rFonts w:ascii="Times New Roman" w:eastAsia="Times New Roman" w:hAnsi="Times New Roman" w:cs="Times New Roman"/>
                <w:color w:val="000000"/>
                <w:sz w:val="20"/>
                <w:szCs w:val="20"/>
                <w:lang w:val="en-GB"/>
              </w:rPr>
              <w:t>Chi-Square = 0.000</w:t>
            </w:r>
          </w:p>
        </w:tc>
        <w:tc>
          <w:tcPr>
            <w:tcW w:w="2496" w:type="dxa"/>
            <w:gridSpan w:val="2"/>
            <w:shd w:val="clear" w:color="auto" w:fill="auto"/>
            <w:vAlign w:val="center"/>
          </w:tcPr>
          <w:p w14:paraId="3178E853"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bookmarkStart w:id="0" w:name="_heading=h.gjdgxs" w:colFirst="0" w:colLast="0"/>
            <w:bookmarkEnd w:id="0"/>
            <w:r w:rsidRPr="00C7410A">
              <w:rPr>
                <w:rFonts w:ascii="Times New Roman" w:eastAsia="Times New Roman" w:hAnsi="Times New Roman" w:cs="Times New Roman"/>
                <w:color w:val="000000"/>
                <w:sz w:val="20"/>
                <w:szCs w:val="20"/>
                <w:lang w:val="en-GB"/>
              </w:rPr>
              <w:t xml:space="preserve">    Chi-Square = 0.000</w:t>
            </w:r>
          </w:p>
        </w:tc>
        <w:tc>
          <w:tcPr>
            <w:tcW w:w="821" w:type="dxa"/>
            <w:shd w:val="clear" w:color="auto" w:fill="auto"/>
            <w:vAlign w:val="center"/>
          </w:tcPr>
          <w:p w14:paraId="0675899A" w14:textId="77777777" w:rsidR="00C7410A" w:rsidRPr="00C7410A" w:rsidRDefault="00C7410A" w:rsidP="00F740A7">
            <w:pPr>
              <w:spacing w:after="0" w:line="276" w:lineRule="auto"/>
              <w:jc w:val="right"/>
              <w:rPr>
                <w:rFonts w:ascii="Times New Roman" w:eastAsia="Times New Roman" w:hAnsi="Times New Roman" w:cs="Times New Roman"/>
                <w:color w:val="000000"/>
                <w:sz w:val="20"/>
                <w:szCs w:val="20"/>
                <w:lang w:val="en-GB"/>
              </w:rPr>
            </w:pPr>
          </w:p>
        </w:tc>
      </w:tr>
    </w:tbl>
    <w:p w14:paraId="58A05F8C" w14:textId="77777777" w:rsidR="00C7410A" w:rsidRPr="00C7410A" w:rsidRDefault="00C7410A" w:rsidP="00F740A7">
      <w:pPr>
        <w:spacing w:after="0" w:line="276" w:lineRule="auto"/>
        <w:rPr>
          <w:rFonts w:ascii="Times New Roman" w:eastAsia="Times New Roman" w:hAnsi="Times New Roman" w:cs="Times New Roman"/>
          <w:sz w:val="20"/>
          <w:szCs w:val="20"/>
          <w:lang w:val="en-GB"/>
        </w:rPr>
      </w:pPr>
      <w:r w:rsidRPr="00C7410A">
        <w:rPr>
          <w:rFonts w:ascii="Times New Roman" w:eastAsia="Times New Roman" w:hAnsi="Times New Roman" w:cs="Times New Roman"/>
          <w:sz w:val="20"/>
          <w:szCs w:val="20"/>
          <w:lang w:val="en-GB"/>
        </w:rPr>
        <w:t xml:space="preserve">Source: Field Survey </w:t>
      </w:r>
    </w:p>
    <w:p w14:paraId="1B7E6EDB" w14:textId="77777777" w:rsidR="00C7410A" w:rsidRPr="00C7410A" w:rsidRDefault="00C7410A" w:rsidP="00F740A7">
      <w:pPr>
        <w:spacing w:before="120" w:after="120" w:line="276" w:lineRule="auto"/>
        <w:outlineLvl w:val="0"/>
        <w:rPr>
          <w:rFonts w:ascii="Times New Roman" w:eastAsia="Times New Roman" w:hAnsi="Times New Roman" w:cs="Times New Roman"/>
          <w:b/>
          <w:bCs/>
          <w:kern w:val="36"/>
          <w:sz w:val="28"/>
          <w:szCs w:val="28"/>
          <w:lang w:val="en-GB"/>
        </w:rPr>
      </w:pPr>
    </w:p>
    <w:p w14:paraId="5C6F77BC" w14:textId="77777777" w:rsidR="00C7410A" w:rsidRPr="00C7410A" w:rsidRDefault="00C7410A" w:rsidP="00F740A7">
      <w:pPr>
        <w:spacing w:before="120" w:after="120" w:line="276" w:lineRule="auto"/>
        <w:outlineLvl w:val="0"/>
        <w:rPr>
          <w:rFonts w:ascii="Times New Roman" w:eastAsia="Times New Roman" w:hAnsi="Times New Roman" w:cs="Times New Roman"/>
          <w:b/>
          <w:bCs/>
          <w:kern w:val="36"/>
          <w:sz w:val="28"/>
          <w:szCs w:val="28"/>
          <w:lang w:val="en-GB"/>
        </w:rPr>
      </w:pPr>
    </w:p>
    <w:p w14:paraId="3B515FA2" w14:textId="77777777" w:rsidR="00C7410A" w:rsidRPr="00C7410A" w:rsidRDefault="00C7410A" w:rsidP="00F740A7">
      <w:pPr>
        <w:numPr>
          <w:ilvl w:val="0"/>
          <w:numId w:val="1"/>
        </w:numPr>
        <w:spacing w:before="120" w:after="120" w:line="276" w:lineRule="auto"/>
        <w:outlineLvl w:val="0"/>
        <w:rPr>
          <w:rFonts w:ascii="Times New Roman" w:eastAsia="Times New Roman" w:hAnsi="Times New Roman" w:cs="Times New Roman"/>
          <w:b/>
          <w:bCs/>
          <w:kern w:val="36"/>
          <w:sz w:val="28"/>
          <w:szCs w:val="28"/>
          <w:lang w:val="en-GB"/>
        </w:rPr>
      </w:pPr>
      <w:r w:rsidRPr="00C7410A">
        <w:rPr>
          <w:rFonts w:ascii="Times New Roman" w:eastAsia="Times New Roman" w:hAnsi="Times New Roman" w:cs="Times New Roman"/>
          <w:b/>
          <w:bCs/>
          <w:kern w:val="36"/>
          <w:sz w:val="28"/>
          <w:szCs w:val="28"/>
          <w:lang w:val="en-GB"/>
        </w:rPr>
        <w:t>Discussion of the results and conclusions</w:t>
      </w:r>
    </w:p>
    <w:p w14:paraId="3BCE98C0" w14:textId="77777777" w:rsidR="00C7410A" w:rsidRPr="00C7410A" w:rsidRDefault="00C7410A">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This research provides an in-depth understanding of consumer perceptions and aspects of related to purchasing behaviour were identified. In the demographic segmentation, based on a two-step cluster analysis, the socio-demographic variables of gender, education and age, were used as input clustering variables. Five clusters with significant differences related to gender and education were obtained. High-educated female (HEF) consumers and high-educated male (HEM) consumers prefer to buy cheese mainly in supermarkets, whereas other consumer groups prefer other points of sale. Most consumers across all identified clusters usually buy unpacked cheese and prefer to continue buying this unpacked cheese over packed cheese. However, consumers belonging to the HEF and HEM clusters (respective female and male consumers with university education) have a tendency to purchase packed cheese, even though within these two clusters the majority prefers unpacked cheese. </w:t>
      </w:r>
    </w:p>
    <w:p w14:paraId="7FC6E1DA" w14:textId="49654D80" w:rsidR="00C7410A" w:rsidRPr="00C7410A" w:rsidRDefault="00C7410A">
      <w:pP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Regarding HACCP, most consumers are not aware of it – </w:t>
      </w:r>
      <w:r w:rsidRPr="00C7410A">
        <w:rPr>
          <w:rFonts w:ascii="Times New Roman" w:eastAsia="Times New Roman" w:hAnsi="Times New Roman" w:cs="Times New Roman"/>
          <w:sz w:val="24"/>
          <w:szCs w:val="24"/>
          <w:lang w:val="en-GB"/>
        </w:rPr>
        <w:t>consumer</w:t>
      </w:r>
      <w:r w:rsidRPr="00C7410A">
        <w:rPr>
          <w:rFonts w:ascii="Times New Roman" w:eastAsia="Times New Roman" w:hAnsi="Times New Roman" w:cs="Times New Roman"/>
          <w:color w:val="000000"/>
          <w:sz w:val="24"/>
          <w:szCs w:val="24"/>
          <w:lang w:val="en-GB"/>
        </w:rPr>
        <w:t xml:space="preserve"> clusters with university education appear more informed about both HACCP and ISO when compared to other (less educated) consumer clusters). There is an overall preference for domestic cheese over the imported counterpart for identified consumer groups. </w:t>
      </w:r>
      <w:r w:rsidR="00C603A7" w:rsidRPr="00C7410A">
        <w:rPr>
          <w:rFonts w:ascii="Times New Roman" w:eastAsia="Times New Roman" w:hAnsi="Times New Roman" w:cs="Times New Roman"/>
          <w:sz w:val="24"/>
          <w:szCs w:val="24"/>
          <w:lang w:val="en-GB"/>
        </w:rPr>
        <w:t>This finding</w:t>
      </w:r>
      <w:r w:rsidRPr="00C7410A">
        <w:rPr>
          <w:rFonts w:ascii="Times New Roman" w:eastAsia="Times New Roman" w:hAnsi="Times New Roman" w:cs="Times New Roman"/>
          <w:sz w:val="24"/>
          <w:szCs w:val="24"/>
          <w:lang w:val="en-GB"/>
        </w:rPr>
        <w:t xml:space="preserve"> is in line with previous research that shows a strong preference of Albanian consumers for domestic cheese (Imami et al, 2016a).</w:t>
      </w:r>
    </w:p>
    <w:p w14:paraId="0BD35BD0" w14:textId="77777777" w:rsidR="00C7410A" w:rsidRPr="00C7410A" w:rsidRDefault="00C7410A">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C7410A">
        <w:rPr>
          <w:rFonts w:ascii="Times New Roman" w:eastAsia="Times New Roman" w:hAnsi="Times New Roman" w:cs="Times New Roman"/>
          <w:color w:val="000000"/>
          <w:sz w:val="24"/>
          <w:szCs w:val="24"/>
          <w:lang w:val="en-GB"/>
        </w:rPr>
        <w:t xml:space="preserve">The results of this study provide useful information for Albanian cheese producers and policy makers. Food policy makers and law enforcement institutions should ensure labelling of cheese, providing complete information on production technology and origin. Moreover, labelling information should be guaranteed and reliable to earn the consumer trust. Marketing managers should take into consideration the orientation of the Albanian consumers toward quality and transparency. </w:t>
      </w:r>
    </w:p>
    <w:p w14:paraId="4675F887" w14:textId="77777777" w:rsidR="00C7410A" w:rsidRPr="00C7410A" w:rsidRDefault="00C7410A" w:rsidP="00F740A7">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en-GB"/>
        </w:rPr>
      </w:pPr>
    </w:p>
    <w:p w14:paraId="36CC3533" w14:textId="77777777" w:rsidR="00C7410A" w:rsidRPr="00C7410A" w:rsidRDefault="00000000" w:rsidP="00F740A7">
      <w:pPr>
        <w:numPr>
          <w:ilvl w:val="0"/>
          <w:numId w:val="1"/>
        </w:numPr>
        <w:spacing w:before="60" w:after="60" w:line="276" w:lineRule="auto"/>
        <w:outlineLvl w:val="0"/>
        <w:rPr>
          <w:rFonts w:ascii="Times New Roman" w:eastAsia="Times New Roman" w:hAnsi="Times New Roman" w:cs="Times New Roman"/>
          <w:b/>
          <w:bCs/>
          <w:kern w:val="36"/>
          <w:sz w:val="28"/>
          <w:szCs w:val="28"/>
          <w:lang w:val="en-GB"/>
        </w:rPr>
      </w:pPr>
      <w:sdt>
        <w:sdtPr>
          <w:rPr>
            <w:rFonts w:ascii="Times New Roman" w:eastAsia="Cambria" w:hAnsi="Times New Roman" w:cs="Times New Roman"/>
            <w:b/>
            <w:bCs/>
            <w:kern w:val="36"/>
            <w:sz w:val="28"/>
            <w:szCs w:val="28"/>
            <w:lang w:val="en-GB"/>
          </w:rPr>
          <w:tag w:val="goog_rdk_5"/>
          <w:id w:val="-744485753"/>
        </w:sdtPr>
        <w:sdtContent/>
      </w:sdt>
      <w:sdt>
        <w:sdtPr>
          <w:rPr>
            <w:rFonts w:ascii="Times New Roman" w:eastAsia="Cambria" w:hAnsi="Times New Roman" w:cs="Times New Roman"/>
            <w:b/>
            <w:bCs/>
            <w:kern w:val="36"/>
            <w:sz w:val="28"/>
            <w:szCs w:val="28"/>
            <w:lang w:val="en-GB"/>
          </w:rPr>
          <w:tag w:val="goog_rdk_6"/>
          <w:id w:val="-615985686"/>
          <w:showingPlcHdr/>
        </w:sdtPr>
        <w:sdtContent>
          <w:r w:rsidR="00C7410A" w:rsidRPr="00C7410A">
            <w:rPr>
              <w:rFonts w:ascii="Times New Roman" w:eastAsia="Cambria" w:hAnsi="Times New Roman" w:cs="Times New Roman"/>
              <w:b/>
              <w:bCs/>
              <w:kern w:val="36"/>
              <w:sz w:val="28"/>
              <w:szCs w:val="28"/>
              <w:lang w:val="en-GB"/>
            </w:rPr>
            <w:t xml:space="preserve">     </w:t>
          </w:r>
        </w:sdtContent>
      </w:sdt>
      <w:r w:rsidR="00C7410A" w:rsidRPr="00C7410A">
        <w:rPr>
          <w:rFonts w:ascii="Times New Roman" w:eastAsia="Times New Roman" w:hAnsi="Times New Roman" w:cs="Times New Roman"/>
          <w:b/>
          <w:bCs/>
          <w:kern w:val="36"/>
          <w:sz w:val="28"/>
          <w:szCs w:val="28"/>
          <w:lang w:val="en-GB"/>
        </w:rPr>
        <w:t>References</w:t>
      </w:r>
    </w:p>
    <w:p w14:paraId="5321BD6B"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Galotti, K.M. (1994), Cognitive Psychology. In and Out of the Laboratory, 2nd edition., Brooks/Cole Publishing Company, Pacific Grove</w:t>
      </w:r>
    </w:p>
    <w:p w14:paraId="506C8E2F"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FPCIANR (2001) The Specialty Cheese Market; Food Processing Center Institute of Agriculture </w:t>
      </w:r>
      <w:proofErr w:type="gramStart"/>
      <w:r w:rsidRPr="00C7410A">
        <w:rPr>
          <w:rFonts w:ascii="Times New Roman" w:eastAsia="Times New Roman" w:hAnsi="Times New Roman" w:cs="Times New Roman"/>
          <w:sz w:val="24"/>
          <w:szCs w:val="24"/>
          <w:lang w:val="en-GB"/>
        </w:rPr>
        <w:t>And</w:t>
      </w:r>
      <w:proofErr w:type="gramEnd"/>
      <w:r w:rsidRPr="00C7410A">
        <w:rPr>
          <w:rFonts w:ascii="Times New Roman" w:eastAsia="Times New Roman" w:hAnsi="Times New Roman" w:cs="Times New Roman"/>
          <w:sz w:val="24"/>
          <w:szCs w:val="24"/>
          <w:lang w:val="en-GB"/>
        </w:rPr>
        <w:t xml:space="preserve"> Natural Resources University of Nebraska – Lincoln (FPCIANR), The North Central Initiative For Small Farm Profitability A U.S.D.A.—Funded Project, 2001</w:t>
      </w:r>
    </w:p>
    <w:p w14:paraId="6F977285"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Norusis, M.J. (2003). SPSS 12.0 Statistical Procedures Companion, Prentice-Hall, Upper Saddle River, NJ.</w:t>
      </w:r>
    </w:p>
    <w:p w14:paraId="2011432B" w14:textId="141B7A9C"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Grunert, K.G. (2005), Food quality and safety: consumer perception and demand. European </w:t>
      </w:r>
      <w:r w:rsidR="00C603A7" w:rsidRPr="00C7410A">
        <w:rPr>
          <w:rFonts w:ascii="Times New Roman" w:eastAsia="Times New Roman" w:hAnsi="Times New Roman" w:cs="Times New Roman"/>
          <w:sz w:val="24"/>
          <w:szCs w:val="24"/>
          <w:lang w:val="en-GB"/>
        </w:rPr>
        <w:t>Review</w:t>
      </w:r>
      <w:r w:rsidRPr="00C7410A">
        <w:rPr>
          <w:rFonts w:ascii="Times New Roman" w:eastAsia="Times New Roman" w:hAnsi="Times New Roman" w:cs="Times New Roman"/>
          <w:sz w:val="24"/>
          <w:szCs w:val="24"/>
          <w:lang w:val="en-GB"/>
        </w:rPr>
        <w:t xml:space="preserve"> of Agricultural Economics, Vol. 32 No. 3, pp. 369-391.</w:t>
      </w:r>
    </w:p>
    <w:p w14:paraId="514A7CFF"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INSTAT (Albanian Institution of Statistics). (2012). (Source of socio-demographic figures of Tirana Population) Available at: http://www.instat.gov.al/</w:t>
      </w:r>
    </w:p>
    <w:p w14:paraId="31AA1B34"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lastRenderedPageBreak/>
        <w:t xml:space="preserve">INSTAT, (2012). Population and Housing Census-Final results. Tirana, Albania. In: </w:t>
      </w:r>
      <w:hyperlink r:id="rId11" w:history="1">
        <w:r w:rsidRPr="00C7410A">
          <w:rPr>
            <w:rFonts w:ascii="Times New Roman" w:eastAsia="Times New Roman" w:hAnsi="Times New Roman" w:cs="Times New Roman"/>
            <w:color w:val="0000FF"/>
            <w:sz w:val="24"/>
            <w:szCs w:val="24"/>
            <w:u w:val="single"/>
            <w:lang w:val="en-GB"/>
          </w:rPr>
          <w:t>www.instat.gov.al/media/3058/main_results__population_and_housing_census_2011.pdf</w:t>
        </w:r>
      </w:hyperlink>
      <w:r w:rsidRPr="00C7410A">
        <w:rPr>
          <w:rFonts w:ascii="Times New Roman" w:eastAsia="Times New Roman" w:hAnsi="Times New Roman" w:cs="Times New Roman"/>
          <w:sz w:val="24"/>
          <w:szCs w:val="24"/>
          <w:lang w:val="en-GB"/>
        </w:rPr>
        <w:t xml:space="preserve">  </w:t>
      </w:r>
    </w:p>
    <w:p w14:paraId="65E26830"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FAO (2020). Smallholders and family farms in Albania. Country study report.</w:t>
      </w:r>
    </w:p>
    <w:p w14:paraId="39C3F286"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Anderson, J.G., and J.L. Anderson. 1991. “Seafood Quality: Issues for Consumer Research.” Journal of Consumer Affairs 25(1):144–163</w:t>
      </w:r>
    </w:p>
    <w:p w14:paraId="2D3BC68A"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Rettie, R. and Brewer, C. (2000), “The verbal and visual components of package design”, Journal of Product &amp; Brand Management, Vol. 9 No. 1, pp. 56-70.</w:t>
      </w:r>
    </w:p>
    <w:p w14:paraId="693C5706"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Gofman, A. and Moskowitz, H.R. (2010), “Accelerating structured consumer-driven package design”, Journal of Consumer Marketing, Vol. 27 No. 27, pp. 157-168</w:t>
      </w:r>
    </w:p>
    <w:p w14:paraId="4AE3788A" w14:textId="6A5796A6"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Holmes, G.R. and Paswan, A. (2012), “Consumer reaction to </w:t>
      </w:r>
      <w:r w:rsidR="00C603A7" w:rsidRPr="00C7410A">
        <w:rPr>
          <w:rFonts w:ascii="Times New Roman" w:eastAsia="Times New Roman" w:hAnsi="Times New Roman" w:cs="Times New Roman"/>
          <w:sz w:val="24"/>
          <w:szCs w:val="24"/>
          <w:lang w:val="en-GB"/>
        </w:rPr>
        <w:t>new</w:t>
      </w:r>
      <w:r w:rsidRPr="00C7410A">
        <w:rPr>
          <w:rFonts w:ascii="Times New Roman" w:eastAsia="Times New Roman" w:hAnsi="Times New Roman" w:cs="Times New Roman"/>
          <w:sz w:val="24"/>
          <w:szCs w:val="24"/>
          <w:lang w:val="en-GB"/>
        </w:rPr>
        <w:t xml:space="preserve"> package design”, Journal of Product &amp; Brand Management, Vol. 21, pp. 109-116</w:t>
      </w:r>
    </w:p>
    <w:p w14:paraId="13942D89"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Imami, D. and Skreli, E. (2013). Consumer preferences for regional/local products in Albania. Technical report prepared for FAO GCP/ALB/014/EC IPA 2009</w:t>
      </w:r>
    </w:p>
    <w:p w14:paraId="36A3ADB9"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Silayoi, P. &amp; Speece, M. (2004), “Packaging and purchase decisions: an exploratory study on the impact of involvement level and time pressure”, British Food Journal, Vol. 106 No. 8, pp. 607-628</w:t>
      </w:r>
    </w:p>
    <w:p w14:paraId="404C5A97"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Loureiro, M.L.; Umberger, W.J. (2007), A choice experiment model for beef: What US consumer responses tell us about relative preferences for food safety, country-of-origin </w:t>
      </w:r>
      <w:proofErr w:type="spellStart"/>
      <w:r w:rsidRPr="00C7410A">
        <w:rPr>
          <w:rFonts w:ascii="Times New Roman" w:eastAsia="Times New Roman" w:hAnsi="Times New Roman" w:cs="Times New Roman"/>
          <w:sz w:val="24"/>
          <w:szCs w:val="24"/>
          <w:lang w:val="en-GB"/>
        </w:rPr>
        <w:t>labeling</w:t>
      </w:r>
      <w:proofErr w:type="spellEnd"/>
      <w:r w:rsidRPr="00C7410A">
        <w:rPr>
          <w:rFonts w:ascii="Times New Roman" w:eastAsia="Times New Roman" w:hAnsi="Times New Roman" w:cs="Times New Roman"/>
          <w:sz w:val="24"/>
          <w:szCs w:val="24"/>
          <w:lang w:val="en-GB"/>
        </w:rPr>
        <w:t xml:space="preserve"> and traceability. Food Policy, 32, 496–514</w:t>
      </w:r>
    </w:p>
    <w:p w14:paraId="4C3C182A"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Chiu, T., Fang, D., Chen, J., Wang, Y., &amp; </w:t>
      </w:r>
      <w:proofErr w:type="spellStart"/>
      <w:r w:rsidRPr="00C7410A">
        <w:rPr>
          <w:rFonts w:ascii="Times New Roman" w:eastAsia="Times New Roman" w:hAnsi="Times New Roman" w:cs="Times New Roman"/>
          <w:sz w:val="24"/>
          <w:szCs w:val="24"/>
          <w:lang w:val="en-GB"/>
        </w:rPr>
        <w:t>Jeris</w:t>
      </w:r>
      <w:proofErr w:type="spellEnd"/>
      <w:r w:rsidRPr="00C7410A">
        <w:rPr>
          <w:rFonts w:ascii="Times New Roman" w:eastAsia="Times New Roman" w:hAnsi="Times New Roman" w:cs="Times New Roman"/>
          <w:sz w:val="24"/>
          <w:szCs w:val="24"/>
          <w:lang w:val="en-GB"/>
        </w:rPr>
        <w:t>, C. (2001). A robust and scalable clustering algorithm for mixed type attributes in large database environment. In Proceedings of the seventh ACM SIGKDD international conference on knowledge discovery and data mining (pp. 263-268). ACM.</w:t>
      </w:r>
    </w:p>
    <w:p w14:paraId="3877DDC6"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Corcoran, K., </w:t>
      </w:r>
      <w:proofErr w:type="spellStart"/>
      <w:r w:rsidRPr="00C7410A">
        <w:rPr>
          <w:rFonts w:ascii="Times New Roman" w:eastAsia="Times New Roman" w:hAnsi="Times New Roman" w:cs="Times New Roman"/>
          <w:sz w:val="24"/>
          <w:szCs w:val="24"/>
          <w:lang w:val="en-GB"/>
        </w:rPr>
        <w:t>Bernués</w:t>
      </w:r>
      <w:proofErr w:type="spellEnd"/>
      <w:r w:rsidRPr="00C7410A">
        <w:rPr>
          <w:rFonts w:ascii="Times New Roman" w:eastAsia="Times New Roman" w:hAnsi="Times New Roman" w:cs="Times New Roman"/>
          <w:sz w:val="24"/>
          <w:szCs w:val="24"/>
          <w:lang w:val="en-GB"/>
        </w:rPr>
        <w:t xml:space="preserve">, A., Manrique, E., </w:t>
      </w:r>
      <w:proofErr w:type="spellStart"/>
      <w:r w:rsidRPr="00C7410A">
        <w:rPr>
          <w:rFonts w:ascii="Times New Roman" w:eastAsia="Times New Roman" w:hAnsi="Times New Roman" w:cs="Times New Roman"/>
          <w:sz w:val="24"/>
          <w:szCs w:val="24"/>
          <w:lang w:val="en-GB"/>
        </w:rPr>
        <w:t>Pacchioli</w:t>
      </w:r>
      <w:proofErr w:type="spellEnd"/>
      <w:r w:rsidRPr="00C7410A">
        <w:rPr>
          <w:rFonts w:ascii="Times New Roman" w:eastAsia="Times New Roman" w:hAnsi="Times New Roman" w:cs="Times New Roman"/>
          <w:sz w:val="24"/>
          <w:szCs w:val="24"/>
          <w:lang w:val="en-GB"/>
        </w:rPr>
        <w:t xml:space="preserve">, T., Baines, R., &amp; </w:t>
      </w:r>
      <w:proofErr w:type="spellStart"/>
      <w:r w:rsidRPr="00C7410A">
        <w:rPr>
          <w:rFonts w:ascii="Times New Roman" w:eastAsia="Times New Roman" w:hAnsi="Times New Roman" w:cs="Times New Roman"/>
          <w:sz w:val="24"/>
          <w:szCs w:val="24"/>
          <w:lang w:val="en-GB"/>
        </w:rPr>
        <w:t>Boutonnet</w:t>
      </w:r>
      <w:proofErr w:type="spellEnd"/>
      <w:r w:rsidRPr="00C7410A">
        <w:rPr>
          <w:rFonts w:ascii="Times New Roman" w:eastAsia="Times New Roman" w:hAnsi="Times New Roman" w:cs="Times New Roman"/>
          <w:sz w:val="24"/>
          <w:szCs w:val="24"/>
          <w:lang w:val="en-GB"/>
        </w:rPr>
        <w:t xml:space="preserve">, J. P. (2001). Current consumer attitudes towards lamb and beef in Europe. Options </w:t>
      </w:r>
      <w:proofErr w:type="spellStart"/>
      <w:r w:rsidRPr="00C7410A">
        <w:rPr>
          <w:rFonts w:ascii="Times New Roman" w:eastAsia="Times New Roman" w:hAnsi="Times New Roman" w:cs="Times New Roman"/>
          <w:sz w:val="24"/>
          <w:szCs w:val="24"/>
          <w:lang w:val="en-GB"/>
        </w:rPr>
        <w:t>Méditerranéennes</w:t>
      </w:r>
      <w:proofErr w:type="spellEnd"/>
      <w:r w:rsidRPr="00C7410A">
        <w:rPr>
          <w:rFonts w:ascii="Times New Roman" w:eastAsia="Times New Roman" w:hAnsi="Times New Roman" w:cs="Times New Roman"/>
          <w:sz w:val="24"/>
          <w:szCs w:val="24"/>
          <w:lang w:val="en-GB"/>
        </w:rPr>
        <w:t xml:space="preserve"> A, 46, 75-79.</w:t>
      </w:r>
    </w:p>
    <w:p w14:paraId="6983B896"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Skallerud, K., </w:t>
      </w:r>
      <w:proofErr w:type="spellStart"/>
      <w:r w:rsidRPr="00C7410A">
        <w:rPr>
          <w:rFonts w:ascii="Times New Roman" w:eastAsia="Times New Roman" w:hAnsi="Times New Roman" w:cs="Times New Roman"/>
          <w:sz w:val="24"/>
          <w:szCs w:val="24"/>
          <w:lang w:val="en-GB"/>
        </w:rPr>
        <w:t>Korneliussen</w:t>
      </w:r>
      <w:proofErr w:type="spellEnd"/>
      <w:r w:rsidRPr="00C7410A">
        <w:rPr>
          <w:rFonts w:ascii="Times New Roman" w:eastAsia="Times New Roman" w:hAnsi="Times New Roman" w:cs="Times New Roman"/>
          <w:sz w:val="24"/>
          <w:szCs w:val="24"/>
          <w:lang w:val="en-GB"/>
        </w:rPr>
        <w:t>, T., Olsen, S. O. (2009), “An examination of consumers’ cross-shopping behaviour”, Journal of Retailing and Consumer Services 16, 181–189</w:t>
      </w:r>
    </w:p>
    <w:p w14:paraId="7D4D5384"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Young, O. A., Cummings, T. L., &amp; Binnie, N. S. (2009). Effect of several sugars on consumer perception of cured </w:t>
      </w:r>
      <w:proofErr w:type="spellStart"/>
      <w:r w:rsidRPr="00C7410A">
        <w:rPr>
          <w:rFonts w:ascii="Times New Roman" w:eastAsia="Times New Roman" w:hAnsi="Times New Roman" w:cs="Times New Roman"/>
          <w:sz w:val="24"/>
          <w:szCs w:val="24"/>
          <w:lang w:val="en-GB"/>
        </w:rPr>
        <w:t>sheepmeat</w:t>
      </w:r>
      <w:proofErr w:type="spellEnd"/>
      <w:r w:rsidRPr="00C7410A">
        <w:rPr>
          <w:rFonts w:ascii="Times New Roman" w:eastAsia="Times New Roman" w:hAnsi="Times New Roman" w:cs="Times New Roman"/>
          <w:sz w:val="24"/>
          <w:szCs w:val="24"/>
          <w:lang w:val="en-GB"/>
        </w:rPr>
        <w:t>. Journal of food science, 74(5), S198-S204.</w:t>
      </w:r>
    </w:p>
    <w:p w14:paraId="1A89E6EA"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Imami, D., Zhllima, E., </w:t>
      </w:r>
      <w:proofErr w:type="spellStart"/>
      <w:r w:rsidRPr="00C7410A">
        <w:rPr>
          <w:rFonts w:ascii="Times New Roman" w:eastAsia="Times New Roman" w:hAnsi="Times New Roman" w:cs="Times New Roman"/>
          <w:sz w:val="24"/>
          <w:szCs w:val="24"/>
          <w:lang w:val="en-GB"/>
        </w:rPr>
        <w:t>Canavari</w:t>
      </w:r>
      <w:proofErr w:type="spellEnd"/>
      <w:r w:rsidRPr="00C7410A">
        <w:rPr>
          <w:rFonts w:ascii="Times New Roman" w:eastAsia="Times New Roman" w:hAnsi="Times New Roman" w:cs="Times New Roman"/>
          <w:sz w:val="24"/>
          <w:szCs w:val="24"/>
          <w:lang w:val="en-GB"/>
        </w:rPr>
        <w:t xml:space="preserve">, M., &amp; </w:t>
      </w:r>
      <w:proofErr w:type="spellStart"/>
      <w:r w:rsidRPr="00C7410A">
        <w:rPr>
          <w:rFonts w:ascii="Times New Roman" w:eastAsia="Times New Roman" w:hAnsi="Times New Roman" w:cs="Times New Roman"/>
          <w:sz w:val="24"/>
          <w:szCs w:val="24"/>
          <w:lang w:val="en-GB"/>
        </w:rPr>
        <w:t>Merkaj</w:t>
      </w:r>
      <w:proofErr w:type="spellEnd"/>
      <w:r w:rsidRPr="00C7410A">
        <w:rPr>
          <w:rFonts w:ascii="Times New Roman" w:eastAsia="Times New Roman" w:hAnsi="Times New Roman" w:cs="Times New Roman"/>
          <w:sz w:val="24"/>
          <w:szCs w:val="24"/>
          <w:lang w:val="en-GB"/>
        </w:rPr>
        <w:t>, E. (2013). Segmenting Albanian consumers according to olive oil quality perception and purchasing habits. Agricultural Economics Review, 14(389-2016-23484), 97-112.</w:t>
      </w:r>
    </w:p>
    <w:p w14:paraId="376C7181"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Zhllima, E., Imami, D., &amp; </w:t>
      </w:r>
      <w:proofErr w:type="spellStart"/>
      <w:r w:rsidRPr="00C7410A">
        <w:rPr>
          <w:rFonts w:ascii="Times New Roman" w:eastAsia="Times New Roman" w:hAnsi="Times New Roman" w:cs="Times New Roman"/>
          <w:sz w:val="24"/>
          <w:szCs w:val="24"/>
          <w:lang w:val="en-GB"/>
        </w:rPr>
        <w:t>Canavari</w:t>
      </w:r>
      <w:proofErr w:type="spellEnd"/>
      <w:r w:rsidRPr="00C7410A">
        <w:rPr>
          <w:rFonts w:ascii="Times New Roman" w:eastAsia="Times New Roman" w:hAnsi="Times New Roman" w:cs="Times New Roman"/>
          <w:sz w:val="24"/>
          <w:szCs w:val="24"/>
          <w:lang w:val="en-GB"/>
        </w:rPr>
        <w:t>, M. (2015). Consumer perceptions of food safety risk: Evidence from a segmentation study in Albania. Journal of Integrative Agriculture, 14(6), 1142-1152.</w:t>
      </w:r>
    </w:p>
    <w:p w14:paraId="564B3B2D"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lastRenderedPageBreak/>
        <w:t xml:space="preserve">Imami, D., Zhllima, E., </w:t>
      </w:r>
      <w:proofErr w:type="spellStart"/>
      <w:r w:rsidRPr="00C7410A">
        <w:rPr>
          <w:rFonts w:ascii="Times New Roman" w:eastAsia="Times New Roman" w:hAnsi="Times New Roman" w:cs="Times New Roman"/>
          <w:sz w:val="24"/>
          <w:szCs w:val="24"/>
          <w:lang w:val="en-GB"/>
        </w:rPr>
        <w:t>Merkaj</w:t>
      </w:r>
      <w:proofErr w:type="spellEnd"/>
      <w:r w:rsidRPr="00C7410A">
        <w:rPr>
          <w:rFonts w:ascii="Times New Roman" w:eastAsia="Times New Roman" w:hAnsi="Times New Roman" w:cs="Times New Roman"/>
          <w:sz w:val="24"/>
          <w:szCs w:val="24"/>
          <w:lang w:val="en-GB"/>
        </w:rPr>
        <w:t>, E., Chan-</w:t>
      </w:r>
      <w:proofErr w:type="spellStart"/>
      <w:r w:rsidRPr="00C7410A">
        <w:rPr>
          <w:rFonts w:ascii="Times New Roman" w:eastAsia="Times New Roman" w:hAnsi="Times New Roman" w:cs="Times New Roman"/>
          <w:sz w:val="24"/>
          <w:szCs w:val="24"/>
          <w:lang w:val="en-GB"/>
        </w:rPr>
        <w:t>Halbrendt</w:t>
      </w:r>
      <w:proofErr w:type="spellEnd"/>
      <w:r w:rsidRPr="00C7410A">
        <w:rPr>
          <w:rFonts w:ascii="Times New Roman" w:eastAsia="Times New Roman" w:hAnsi="Times New Roman" w:cs="Times New Roman"/>
          <w:sz w:val="24"/>
          <w:szCs w:val="24"/>
          <w:lang w:val="en-GB"/>
        </w:rPr>
        <w:t xml:space="preserve">, C., &amp; </w:t>
      </w:r>
      <w:proofErr w:type="spellStart"/>
      <w:r w:rsidRPr="00C7410A">
        <w:rPr>
          <w:rFonts w:ascii="Times New Roman" w:eastAsia="Times New Roman" w:hAnsi="Times New Roman" w:cs="Times New Roman"/>
          <w:sz w:val="24"/>
          <w:szCs w:val="24"/>
          <w:lang w:val="en-GB"/>
        </w:rPr>
        <w:t>Canavar</w:t>
      </w:r>
      <w:proofErr w:type="spellEnd"/>
      <w:r w:rsidRPr="00C7410A">
        <w:rPr>
          <w:rFonts w:ascii="Times New Roman" w:eastAsia="Times New Roman" w:hAnsi="Times New Roman" w:cs="Times New Roman"/>
          <w:sz w:val="24"/>
          <w:szCs w:val="24"/>
          <w:lang w:val="en-GB"/>
        </w:rPr>
        <w:t>, M. (2016a). Albanian consumer preferences for the use of dry milk in cheese-making: A conjoint choice experiment. Agricultural Economics Review, 17(875-2017-1552), 20-33.</w:t>
      </w:r>
    </w:p>
    <w:p w14:paraId="1F2A1AF8"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Imami, D., Skreli, E., Zhllima, E., &amp; </w:t>
      </w:r>
      <w:proofErr w:type="spellStart"/>
      <w:r w:rsidRPr="00C7410A">
        <w:rPr>
          <w:rFonts w:ascii="Times New Roman" w:eastAsia="Times New Roman" w:hAnsi="Times New Roman" w:cs="Times New Roman"/>
          <w:sz w:val="24"/>
          <w:szCs w:val="24"/>
          <w:lang w:val="en-GB"/>
        </w:rPr>
        <w:t>Chanb</w:t>
      </w:r>
      <w:proofErr w:type="spellEnd"/>
      <w:r w:rsidRPr="00C7410A">
        <w:rPr>
          <w:rFonts w:ascii="Times New Roman" w:eastAsia="Times New Roman" w:hAnsi="Times New Roman" w:cs="Times New Roman"/>
          <w:sz w:val="24"/>
          <w:szCs w:val="24"/>
          <w:lang w:val="en-GB"/>
        </w:rPr>
        <w:t xml:space="preserve">, C. (2017). Consumer attitudes towards organic food in the Western Balkans-the case of Albania. Economia </w:t>
      </w:r>
      <w:proofErr w:type="spellStart"/>
      <w:r w:rsidRPr="00C7410A">
        <w:rPr>
          <w:rFonts w:ascii="Times New Roman" w:eastAsia="Times New Roman" w:hAnsi="Times New Roman" w:cs="Times New Roman"/>
          <w:sz w:val="24"/>
          <w:szCs w:val="24"/>
          <w:lang w:val="en-GB"/>
        </w:rPr>
        <w:t>agro-alimentare</w:t>
      </w:r>
      <w:proofErr w:type="spellEnd"/>
      <w:r w:rsidRPr="00C7410A">
        <w:rPr>
          <w:rFonts w:ascii="Times New Roman" w:eastAsia="Times New Roman" w:hAnsi="Times New Roman" w:cs="Times New Roman"/>
          <w:sz w:val="24"/>
          <w:szCs w:val="24"/>
          <w:lang w:val="en-GB"/>
        </w:rPr>
        <w:t>.</w:t>
      </w:r>
    </w:p>
    <w:p w14:paraId="2D596BF8" w14:textId="77777777" w:rsidR="00C7410A" w:rsidRPr="00C7410A" w:rsidRDefault="00C7410A" w:rsidP="00561FC0">
      <w:pPr>
        <w:pBdr>
          <w:top w:val="nil"/>
          <w:left w:val="nil"/>
          <w:bottom w:val="nil"/>
          <w:right w:val="nil"/>
          <w:between w:val="nil"/>
        </w:pBdr>
        <w:spacing w:before="60" w:after="60" w:line="276" w:lineRule="auto"/>
        <w:ind w:left="475" w:hanging="475"/>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Haas, R. Imami, D. </w:t>
      </w:r>
      <w:proofErr w:type="spellStart"/>
      <w:r w:rsidRPr="00C7410A">
        <w:rPr>
          <w:rFonts w:ascii="Times New Roman" w:eastAsia="Times New Roman" w:hAnsi="Times New Roman" w:cs="Times New Roman"/>
          <w:sz w:val="24"/>
          <w:szCs w:val="24"/>
          <w:lang w:val="en-GB"/>
        </w:rPr>
        <w:t>Miftari</w:t>
      </w:r>
      <w:proofErr w:type="spellEnd"/>
      <w:r w:rsidRPr="00C7410A">
        <w:rPr>
          <w:rFonts w:ascii="Times New Roman" w:eastAsia="Times New Roman" w:hAnsi="Times New Roman" w:cs="Times New Roman"/>
          <w:sz w:val="24"/>
          <w:szCs w:val="24"/>
          <w:lang w:val="en-GB"/>
        </w:rPr>
        <w:t xml:space="preserve">, I., </w:t>
      </w:r>
      <w:proofErr w:type="spellStart"/>
      <w:r w:rsidRPr="00C7410A">
        <w:rPr>
          <w:rFonts w:ascii="Times New Roman" w:eastAsia="Times New Roman" w:hAnsi="Times New Roman" w:cs="Times New Roman"/>
          <w:sz w:val="24"/>
          <w:szCs w:val="24"/>
          <w:lang w:val="en-GB"/>
        </w:rPr>
        <w:t>Ymeri</w:t>
      </w:r>
      <w:proofErr w:type="spellEnd"/>
      <w:r w:rsidRPr="00C7410A">
        <w:rPr>
          <w:rFonts w:ascii="Times New Roman" w:eastAsia="Times New Roman" w:hAnsi="Times New Roman" w:cs="Times New Roman"/>
          <w:sz w:val="24"/>
          <w:szCs w:val="24"/>
          <w:lang w:val="en-GB"/>
        </w:rPr>
        <w:t xml:space="preserve">, P., </w:t>
      </w:r>
      <w:proofErr w:type="spellStart"/>
      <w:r w:rsidRPr="00C7410A">
        <w:rPr>
          <w:rFonts w:ascii="Times New Roman" w:eastAsia="Times New Roman" w:hAnsi="Times New Roman" w:cs="Times New Roman"/>
          <w:sz w:val="24"/>
          <w:szCs w:val="24"/>
          <w:lang w:val="en-GB"/>
        </w:rPr>
        <w:t>Grunert</w:t>
      </w:r>
      <w:proofErr w:type="spellEnd"/>
      <w:r w:rsidRPr="00C7410A">
        <w:rPr>
          <w:rFonts w:ascii="Times New Roman" w:eastAsia="Times New Roman" w:hAnsi="Times New Roman" w:cs="Times New Roman"/>
          <w:sz w:val="24"/>
          <w:szCs w:val="24"/>
          <w:lang w:val="en-GB"/>
        </w:rPr>
        <w:t xml:space="preserve">, K, </w:t>
      </w:r>
      <w:proofErr w:type="spellStart"/>
      <w:r w:rsidRPr="00C7410A">
        <w:rPr>
          <w:rFonts w:ascii="Times New Roman" w:eastAsia="Times New Roman" w:hAnsi="Times New Roman" w:cs="Times New Roman"/>
          <w:sz w:val="24"/>
          <w:szCs w:val="24"/>
          <w:lang w:val="en-GB"/>
        </w:rPr>
        <w:t>Meixner</w:t>
      </w:r>
      <w:proofErr w:type="spellEnd"/>
      <w:r w:rsidRPr="00C7410A">
        <w:rPr>
          <w:rFonts w:ascii="Times New Roman" w:eastAsia="Times New Roman" w:hAnsi="Times New Roman" w:cs="Times New Roman"/>
          <w:sz w:val="24"/>
          <w:szCs w:val="24"/>
          <w:lang w:val="en-GB"/>
        </w:rPr>
        <w:t xml:space="preserve">, O. (2021) Consumer Perception of Food Quality and Safety in Western Balkan Countries: Evidence from Albania and Kosovo, Foods, MDI, 10, https://www.mdpi.com/journal/foods/special_issues/Food_Health_Safety, 10, 160. </w:t>
      </w:r>
      <w:hyperlink r:id="rId12" w:history="1">
        <w:r w:rsidRPr="00C7410A">
          <w:rPr>
            <w:rFonts w:ascii="Times New Roman" w:eastAsia="Times New Roman" w:hAnsi="Times New Roman" w:cs="Times New Roman"/>
            <w:color w:val="0000FF"/>
            <w:sz w:val="24"/>
            <w:szCs w:val="24"/>
            <w:u w:val="single"/>
            <w:lang w:val="en-GB"/>
          </w:rPr>
          <w:t>https://doi.org/10.3390/</w:t>
        </w:r>
      </w:hyperlink>
      <w:r w:rsidRPr="00C7410A">
        <w:rPr>
          <w:rFonts w:ascii="Times New Roman" w:eastAsia="Times New Roman" w:hAnsi="Times New Roman" w:cs="Times New Roman"/>
          <w:sz w:val="24"/>
          <w:szCs w:val="24"/>
          <w:lang w:val="en-GB"/>
        </w:rPr>
        <w:t xml:space="preserve"> </w:t>
      </w:r>
    </w:p>
    <w:p w14:paraId="637826EA" w14:textId="11A44830" w:rsidR="00FC0D84" w:rsidRPr="00C603A7" w:rsidRDefault="00FC0D84" w:rsidP="00386690">
      <w:pPr>
        <w:jc w:val="center"/>
        <w:rPr>
          <w:rFonts w:ascii="Times New Roman" w:hAnsi="Times New Roman" w:cs="Times New Roman"/>
          <w:sz w:val="36"/>
          <w:szCs w:val="36"/>
          <w:lang w:val="en-GB"/>
        </w:rPr>
      </w:pPr>
    </w:p>
    <w:p w14:paraId="66721C6C" w14:textId="42B943E9" w:rsidR="00FD5ADD" w:rsidRPr="00C603A7" w:rsidRDefault="00FD5ADD" w:rsidP="00386690">
      <w:pPr>
        <w:jc w:val="center"/>
        <w:rPr>
          <w:rFonts w:ascii="Times New Roman" w:hAnsi="Times New Roman" w:cs="Times New Roman"/>
          <w:sz w:val="36"/>
          <w:szCs w:val="36"/>
          <w:lang w:val="en-GB"/>
        </w:rPr>
      </w:pPr>
    </w:p>
    <w:p w14:paraId="586F11F7" w14:textId="38112625" w:rsidR="00FD5ADD" w:rsidRPr="00C603A7" w:rsidRDefault="00FD5ADD" w:rsidP="00386690">
      <w:pPr>
        <w:jc w:val="center"/>
        <w:rPr>
          <w:rFonts w:ascii="Times New Roman" w:hAnsi="Times New Roman" w:cs="Times New Roman"/>
          <w:sz w:val="36"/>
          <w:szCs w:val="36"/>
          <w:lang w:val="en-GB"/>
        </w:rPr>
      </w:pPr>
    </w:p>
    <w:p w14:paraId="04F1251F" w14:textId="3229DB46" w:rsidR="00FD5ADD" w:rsidRPr="00C603A7" w:rsidRDefault="00FD5ADD" w:rsidP="00386690">
      <w:pPr>
        <w:jc w:val="center"/>
        <w:rPr>
          <w:rFonts w:ascii="Times New Roman" w:hAnsi="Times New Roman" w:cs="Times New Roman"/>
          <w:sz w:val="36"/>
          <w:szCs w:val="36"/>
          <w:lang w:val="en-GB"/>
        </w:rPr>
      </w:pPr>
    </w:p>
    <w:p w14:paraId="0ACDCB13" w14:textId="13F445B0" w:rsidR="00FD5ADD" w:rsidRPr="00C603A7" w:rsidRDefault="00FD5ADD" w:rsidP="00386690">
      <w:pPr>
        <w:jc w:val="center"/>
        <w:rPr>
          <w:rFonts w:ascii="Times New Roman" w:hAnsi="Times New Roman" w:cs="Times New Roman"/>
          <w:sz w:val="36"/>
          <w:szCs w:val="36"/>
          <w:lang w:val="en-GB"/>
        </w:rPr>
      </w:pPr>
    </w:p>
    <w:p w14:paraId="1D2223BE" w14:textId="41C1E958" w:rsidR="00FD5ADD" w:rsidRPr="00C603A7" w:rsidRDefault="00FD5ADD" w:rsidP="00386690">
      <w:pPr>
        <w:jc w:val="center"/>
        <w:rPr>
          <w:rFonts w:ascii="Times New Roman" w:hAnsi="Times New Roman" w:cs="Times New Roman"/>
          <w:sz w:val="36"/>
          <w:szCs w:val="36"/>
          <w:lang w:val="en-GB"/>
        </w:rPr>
      </w:pPr>
    </w:p>
    <w:p w14:paraId="4721AD16" w14:textId="71F9EFD8" w:rsidR="00FD5ADD" w:rsidRPr="00C603A7" w:rsidRDefault="00FD5ADD" w:rsidP="00386690">
      <w:pPr>
        <w:jc w:val="center"/>
        <w:rPr>
          <w:rFonts w:ascii="Times New Roman" w:hAnsi="Times New Roman" w:cs="Times New Roman"/>
          <w:sz w:val="36"/>
          <w:szCs w:val="36"/>
          <w:lang w:val="en-GB"/>
        </w:rPr>
      </w:pPr>
    </w:p>
    <w:p w14:paraId="1C731CEB" w14:textId="07292922" w:rsidR="00FD5ADD" w:rsidRPr="00C603A7" w:rsidRDefault="00FD5ADD" w:rsidP="00386690">
      <w:pPr>
        <w:jc w:val="center"/>
        <w:rPr>
          <w:rFonts w:ascii="Times New Roman" w:hAnsi="Times New Roman" w:cs="Times New Roman"/>
          <w:sz w:val="36"/>
          <w:szCs w:val="36"/>
          <w:lang w:val="en-GB"/>
        </w:rPr>
      </w:pPr>
    </w:p>
    <w:p w14:paraId="511BB4F3" w14:textId="2EF99F93" w:rsidR="00FD5ADD" w:rsidRPr="00C603A7" w:rsidRDefault="00FD5ADD" w:rsidP="00386690">
      <w:pPr>
        <w:jc w:val="center"/>
        <w:rPr>
          <w:rFonts w:ascii="Times New Roman" w:hAnsi="Times New Roman" w:cs="Times New Roman"/>
          <w:sz w:val="36"/>
          <w:szCs w:val="36"/>
          <w:lang w:val="en-GB"/>
        </w:rPr>
      </w:pPr>
    </w:p>
    <w:p w14:paraId="396BA750" w14:textId="71FE8AE4" w:rsidR="00FD5ADD" w:rsidRPr="00C603A7" w:rsidRDefault="00FD5ADD" w:rsidP="00386690">
      <w:pPr>
        <w:jc w:val="center"/>
        <w:rPr>
          <w:rFonts w:ascii="Times New Roman" w:hAnsi="Times New Roman" w:cs="Times New Roman"/>
          <w:sz w:val="36"/>
          <w:szCs w:val="36"/>
          <w:lang w:val="en-GB"/>
        </w:rPr>
      </w:pPr>
    </w:p>
    <w:p w14:paraId="4D233D12" w14:textId="5BEAB946" w:rsidR="00FD5ADD" w:rsidRPr="00C603A7" w:rsidRDefault="00FD5ADD" w:rsidP="00386690">
      <w:pPr>
        <w:jc w:val="center"/>
        <w:rPr>
          <w:rFonts w:ascii="Times New Roman" w:hAnsi="Times New Roman" w:cs="Times New Roman"/>
          <w:sz w:val="36"/>
          <w:szCs w:val="36"/>
          <w:lang w:val="en-GB"/>
        </w:rPr>
      </w:pPr>
    </w:p>
    <w:p w14:paraId="56D2952F" w14:textId="67B21559" w:rsidR="00FD5ADD" w:rsidRPr="00C603A7" w:rsidRDefault="00FD5ADD" w:rsidP="00386690">
      <w:pPr>
        <w:jc w:val="center"/>
        <w:rPr>
          <w:rFonts w:ascii="Times New Roman" w:hAnsi="Times New Roman" w:cs="Times New Roman"/>
          <w:sz w:val="36"/>
          <w:szCs w:val="36"/>
          <w:lang w:val="en-GB"/>
        </w:rPr>
      </w:pPr>
    </w:p>
    <w:p w14:paraId="35E9D90A" w14:textId="7614BA3F" w:rsidR="00FD5ADD" w:rsidRDefault="00FD5ADD" w:rsidP="00386690">
      <w:pPr>
        <w:jc w:val="center"/>
        <w:rPr>
          <w:rFonts w:ascii="Times New Roman" w:hAnsi="Times New Roman" w:cs="Times New Roman"/>
          <w:sz w:val="36"/>
          <w:szCs w:val="36"/>
          <w:lang w:val="en-GB"/>
        </w:rPr>
      </w:pPr>
    </w:p>
    <w:p w14:paraId="1439F528" w14:textId="0E7EB329" w:rsidR="00626499" w:rsidRDefault="00626499" w:rsidP="00386690">
      <w:pPr>
        <w:jc w:val="center"/>
        <w:rPr>
          <w:rFonts w:ascii="Times New Roman" w:hAnsi="Times New Roman" w:cs="Times New Roman"/>
          <w:sz w:val="36"/>
          <w:szCs w:val="36"/>
          <w:lang w:val="en-GB"/>
        </w:rPr>
      </w:pPr>
    </w:p>
    <w:p w14:paraId="2DABE524" w14:textId="77777777" w:rsidR="00626499" w:rsidRPr="00C603A7" w:rsidRDefault="00626499" w:rsidP="00386690">
      <w:pPr>
        <w:jc w:val="center"/>
        <w:rPr>
          <w:rFonts w:ascii="Times New Roman" w:hAnsi="Times New Roman" w:cs="Times New Roman"/>
          <w:sz w:val="36"/>
          <w:szCs w:val="36"/>
          <w:lang w:val="en-GB"/>
        </w:rPr>
      </w:pPr>
    </w:p>
    <w:p w14:paraId="708CB2F0" w14:textId="60B996C0" w:rsidR="00FD5ADD" w:rsidRPr="00C603A7" w:rsidRDefault="00FD5ADD" w:rsidP="00386690">
      <w:pPr>
        <w:jc w:val="center"/>
        <w:rPr>
          <w:rFonts w:ascii="Times New Roman" w:hAnsi="Times New Roman" w:cs="Times New Roman"/>
          <w:sz w:val="36"/>
          <w:szCs w:val="36"/>
          <w:lang w:val="en-GB"/>
        </w:rPr>
      </w:pPr>
    </w:p>
    <w:p w14:paraId="77A6B1DA" w14:textId="77777777" w:rsidR="00FD5ADD" w:rsidRPr="00561FC0" w:rsidRDefault="00FD5ADD" w:rsidP="00FD5ADD">
      <w:pPr>
        <w:jc w:val="center"/>
        <w:rPr>
          <w:rFonts w:ascii="Times New Roman" w:hAnsi="Times New Roman" w:cs="Times New Roman"/>
          <w:b/>
          <w:bCs/>
          <w:sz w:val="28"/>
          <w:szCs w:val="28"/>
          <w:lang w:val="en-GB"/>
        </w:rPr>
      </w:pPr>
      <w:r w:rsidRPr="00561FC0">
        <w:rPr>
          <w:rFonts w:ascii="Times New Roman" w:hAnsi="Times New Roman" w:cs="Times New Roman"/>
          <w:b/>
          <w:bCs/>
          <w:sz w:val="28"/>
          <w:szCs w:val="28"/>
          <w:lang w:val="en-GB"/>
        </w:rPr>
        <w:lastRenderedPageBreak/>
        <w:t>Impact of Covid-19 on agriculture sector – the case of Albania</w:t>
      </w:r>
    </w:p>
    <w:p w14:paraId="510201FD" w14:textId="77777777" w:rsidR="00FD5ADD" w:rsidRPr="00FD5ADD" w:rsidRDefault="00FD5ADD" w:rsidP="00FD5ADD">
      <w:pPr>
        <w:jc w:val="center"/>
        <w:rPr>
          <w:rFonts w:ascii="Times New Roman" w:hAnsi="Times New Roman" w:cs="Times New Roman"/>
          <w:b/>
          <w:bCs/>
          <w:sz w:val="24"/>
          <w:szCs w:val="24"/>
          <w:lang w:val="en-GB"/>
        </w:rPr>
      </w:pPr>
    </w:p>
    <w:p w14:paraId="5513223F" w14:textId="77777777" w:rsidR="00FD5ADD" w:rsidRPr="00FD5ADD" w:rsidRDefault="00FD5ADD" w:rsidP="00FD5ADD">
      <w:pPr>
        <w:spacing w:after="0"/>
        <w:jc w:val="center"/>
        <w:rPr>
          <w:rFonts w:ascii="Times New Roman" w:hAnsi="Times New Roman" w:cs="Times New Roman"/>
          <w:b/>
          <w:bCs/>
          <w:sz w:val="24"/>
          <w:szCs w:val="24"/>
          <w:lang w:val="en-GB"/>
        </w:rPr>
      </w:pPr>
      <w:r w:rsidRPr="00FD5ADD">
        <w:rPr>
          <w:rFonts w:ascii="Times New Roman" w:hAnsi="Times New Roman" w:cs="Times New Roman"/>
          <w:b/>
          <w:bCs/>
          <w:sz w:val="24"/>
          <w:szCs w:val="24"/>
          <w:lang w:val="en-GB"/>
        </w:rPr>
        <w:t>Drini Imami</w:t>
      </w:r>
    </w:p>
    <w:p w14:paraId="5A15B4D6" w14:textId="77777777" w:rsidR="00FD5ADD" w:rsidRPr="00FD5ADD" w:rsidRDefault="00FD5ADD" w:rsidP="00FD5ADD">
      <w:pPr>
        <w:spacing w:after="0"/>
        <w:jc w:val="center"/>
        <w:rPr>
          <w:rFonts w:ascii="Times New Roman" w:hAnsi="Times New Roman" w:cs="Times New Roman"/>
          <w:color w:val="000000"/>
          <w:sz w:val="24"/>
          <w:szCs w:val="24"/>
          <w:highlight w:val="white"/>
          <w:lang w:val="en-GB"/>
        </w:rPr>
      </w:pPr>
      <w:r w:rsidRPr="00FD5ADD">
        <w:rPr>
          <w:rFonts w:ascii="Times New Roman" w:hAnsi="Times New Roman" w:cs="Times New Roman"/>
          <w:color w:val="000000"/>
          <w:sz w:val="24"/>
          <w:szCs w:val="24"/>
          <w:highlight w:val="white"/>
          <w:lang w:val="en-GB"/>
        </w:rPr>
        <w:t>Faculty of Economics and Agribusiness, Agriculture University of Tirana, Tirana, Albania.</w:t>
      </w:r>
    </w:p>
    <w:p w14:paraId="0DC74971" w14:textId="77777777" w:rsidR="00FD5ADD" w:rsidRPr="00FD5ADD" w:rsidRDefault="00FD5ADD" w:rsidP="00FD5ADD">
      <w:pPr>
        <w:spacing w:after="0"/>
        <w:jc w:val="center"/>
        <w:rPr>
          <w:rFonts w:ascii="Times New Roman" w:hAnsi="Times New Roman" w:cs="Times New Roman"/>
          <w:color w:val="0000FF"/>
          <w:sz w:val="24"/>
          <w:szCs w:val="24"/>
          <w:u w:val="single"/>
          <w:lang w:val="en-GB"/>
        </w:rPr>
      </w:pPr>
      <w:r w:rsidRPr="00FD5ADD">
        <w:rPr>
          <w:rFonts w:ascii="Times New Roman" w:hAnsi="Times New Roman" w:cs="Times New Roman"/>
          <w:color w:val="000000"/>
          <w:sz w:val="24"/>
          <w:szCs w:val="24"/>
          <w:highlight w:val="white"/>
          <w:lang w:val="en-GB"/>
        </w:rPr>
        <w:t xml:space="preserve">E-mail: </w:t>
      </w:r>
      <w:hyperlink r:id="rId13">
        <w:r w:rsidRPr="00FD5ADD">
          <w:rPr>
            <w:rFonts w:ascii="Times New Roman" w:hAnsi="Times New Roman" w:cs="Times New Roman"/>
            <w:color w:val="0000FF"/>
            <w:sz w:val="24"/>
            <w:szCs w:val="24"/>
            <w:highlight w:val="white"/>
            <w:u w:val="single"/>
            <w:lang w:val="en-GB"/>
          </w:rPr>
          <w:t>dimami@ubt.edu.al</w:t>
        </w:r>
      </w:hyperlink>
    </w:p>
    <w:p w14:paraId="31592368" w14:textId="77777777" w:rsidR="00FD5ADD" w:rsidRPr="00FD5ADD" w:rsidRDefault="00FD5ADD" w:rsidP="00FD5ADD">
      <w:pPr>
        <w:spacing w:after="0"/>
        <w:jc w:val="center"/>
        <w:rPr>
          <w:rFonts w:ascii="Times New Roman" w:hAnsi="Times New Roman" w:cs="Times New Roman"/>
          <w:sz w:val="24"/>
          <w:szCs w:val="24"/>
          <w:lang w:val="en-GB"/>
        </w:rPr>
      </w:pPr>
    </w:p>
    <w:p w14:paraId="43B01ED4" w14:textId="77777777" w:rsidR="00FD5ADD" w:rsidRPr="00FD5ADD" w:rsidRDefault="00FD5ADD" w:rsidP="00FD5ADD">
      <w:pPr>
        <w:spacing w:after="0"/>
        <w:jc w:val="center"/>
        <w:rPr>
          <w:rFonts w:ascii="Times New Roman" w:hAnsi="Times New Roman" w:cs="Times New Roman"/>
          <w:b/>
          <w:bCs/>
          <w:sz w:val="24"/>
          <w:szCs w:val="24"/>
          <w:lang w:val="en-GB"/>
        </w:rPr>
      </w:pPr>
      <w:r w:rsidRPr="00FD5ADD">
        <w:rPr>
          <w:rFonts w:ascii="Times New Roman" w:hAnsi="Times New Roman" w:cs="Times New Roman"/>
          <w:b/>
          <w:bCs/>
          <w:sz w:val="24"/>
          <w:szCs w:val="24"/>
          <w:lang w:val="en-GB"/>
        </w:rPr>
        <w:t>Orjon Xhoxhi</w:t>
      </w:r>
    </w:p>
    <w:p w14:paraId="569B80E2" w14:textId="77777777" w:rsidR="00FD5ADD" w:rsidRPr="00FD5ADD" w:rsidRDefault="00FD5ADD" w:rsidP="00FD5ADD">
      <w:pPr>
        <w:spacing w:after="0"/>
        <w:jc w:val="center"/>
        <w:rPr>
          <w:rFonts w:ascii="Times New Roman" w:hAnsi="Times New Roman" w:cs="Times New Roman"/>
          <w:color w:val="000000"/>
          <w:sz w:val="24"/>
          <w:szCs w:val="24"/>
          <w:highlight w:val="white"/>
          <w:lang w:val="en-GB"/>
        </w:rPr>
      </w:pPr>
      <w:r w:rsidRPr="00FD5ADD">
        <w:rPr>
          <w:rFonts w:ascii="Times New Roman" w:hAnsi="Times New Roman" w:cs="Times New Roman"/>
          <w:color w:val="000000"/>
          <w:sz w:val="24"/>
          <w:szCs w:val="24"/>
          <w:highlight w:val="white"/>
          <w:lang w:val="en-GB"/>
        </w:rPr>
        <w:t>Faculty of Economics and Agribusiness, Agriculture University of Tirana, Tirana, Albania.</w:t>
      </w:r>
    </w:p>
    <w:p w14:paraId="26AC3E16" w14:textId="77777777" w:rsidR="00FD5ADD" w:rsidRPr="00FD5ADD" w:rsidRDefault="00FD5ADD" w:rsidP="00FD5ADD">
      <w:pPr>
        <w:spacing w:after="0"/>
        <w:jc w:val="center"/>
        <w:rPr>
          <w:rFonts w:ascii="Times New Roman" w:hAnsi="Times New Roman" w:cs="Times New Roman"/>
          <w:color w:val="0000FF"/>
          <w:sz w:val="24"/>
          <w:szCs w:val="24"/>
          <w:u w:val="single"/>
          <w:lang w:val="en-GB"/>
        </w:rPr>
      </w:pPr>
      <w:r w:rsidRPr="00FD5ADD">
        <w:rPr>
          <w:rFonts w:ascii="Times New Roman" w:hAnsi="Times New Roman" w:cs="Times New Roman"/>
          <w:color w:val="000000"/>
          <w:sz w:val="24"/>
          <w:szCs w:val="24"/>
          <w:highlight w:val="white"/>
          <w:lang w:val="en-GB"/>
        </w:rPr>
        <w:t xml:space="preserve">E-mail: </w:t>
      </w:r>
      <w:r w:rsidRPr="00FD5ADD">
        <w:rPr>
          <w:rFonts w:ascii="Times New Roman" w:hAnsi="Times New Roman" w:cs="Times New Roman"/>
          <w:color w:val="000000"/>
          <w:sz w:val="24"/>
          <w:szCs w:val="24"/>
          <w:lang w:val="en-GB"/>
        </w:rPr>
        <w:t>oxhoxhi</w:t>
      </w:r>
      <w:hyperlink r:id="rId14">
        <w:r w:rsidRPr="00FD5ADD">
          <w:rPr>
            <w:rFonts w:ascii="Times New Roman" w:hAnsi="Times New Roman" w:cs="Times New Roman"/>
            <w:color w:val="0000FF"/>
            <w:sz w:val="24"/>
            <w:szCs w:val="24"/>
            <w:highlight w:val="white"/>
            <w:u w:val="single"/>
            <w:lang w:val="en-GB"/>
          </w:rPr>
          <w:t>@ubt.edu.al</w:t>
        </w:r>
      </w:hyperlink>
    </w:p>
    <w:p w14:paraId="38D69F9E" w14:textId="77777777" w:rsidR="00FD5ADD" w:rsidRPr="00FD5ADD" w:rsidRDefault="00FD5ADD" w:rsidP="00FD5ADD">
      <w:pPr>
        <w:spacing w:after="0"/>
        <w:jc w:val="center"/>
        <w:rPr>
          <w:rFonts w:ascii="Times New Roman" w:hAnsi="Times New Roman" w:cs="Times New Roman"/>
          <w:sz w:val="24"/>
          <w:szCs w:val="24"/>
          <w:lang w:val="en-GB"/>
        </w:rPr>
      </w:pPr>
    </w:p>
    <w:p w14:paraId="1CB65122" w14:textId="77777777" w:rsidR="00FD5ADD" w:rsidRPr="00FD5ADD" w:rsidRDefault="00FD5ADD" w:rsidP="00FD5ADD">
      <w:pPr>
        <w:spacing w:after="0"/>
        <w:jc w:val="center"/>
        <w:rPr>
          <w:rFonts w:ascii="Times New Roman" w:hAnsi="Times New Roman" w:cs="Times New Roman"/>
          <w:b/>
          <w:bCs/>
          <w:sz w:val="24"/>
          <w:szCs w:val="24"/>
          <w:lang w:val="en-GB"/>
        </w:rPr>
      </w:pPr>
      <w:r w:rsidRPr="00FD5ADD">
        <w:rPr>
          <w:rFonts w:ascii="Times New Roman" w:hAnsi="Times New Roman" w:cs="Times New Roman"/>
          <w:b/>
          <w:bCs/>
          <w:sz w:val="24"/>
          <w:szCs w:val="24"/>
          <w:lang w:val="en-GB"/>
        </w:rPr>
        <w:t>Edvin Zhllima</w:t>
      </w:r>
    </w:p>
    <w:p w14:paraId="19534BF0" w14:textId="77777777" w:rsidR="00FD5ADD" w:rsidRPr="00FD5ADD" w:rsidRDefault="00FD5ADD" w:rsidP="00FD5ADD">
      <w:pPr>
        <w:spacing w:after="0"/>
        <w:jc w:val="center"/>
        <w:rPr>
          <w:rFonts w:ascii="Times New Roman" w:hAnsi="Times New Roman" w:cs="Times New Roman"/>
          <w:color w:val="000000"/>
          <w:sz w:val="24"/>
          <w:szCs w:val="24"/>
          <w:highlight w:val="white"/>
          <w:lang w:val="en-GB"/>
        </w:rPr>
      </w:pPr>
      <w:r w:rsidRPr="00FD5ADD">
        <w:rPr>
          <w:rFonts w:ascii="Times New Roman" w:hAnsi="Times New Roman" w:cs="Times New Roman"/>
          <w:color w:val="000000"/>
          <w:sz w:val="24"/>
          <w:szCs w:val="24"/>
          <w:highlight w:val="white"/>
          <w:lang w:val="en-GB"/>
        </w:rPr>
        <w:t>Faculty of Economics and Agribusiness, Agriculture University of Tirana, Tirana, Albania.</w:t>
      </w:r>
    </w:p>
    <w:p w14:paraId="2B94EDB6" w14:textId="77777777" w:rsidR="00FD5ADD" w:rsidRPr="00FD5ADD" w:rsidRDefault="00FD5ADD" w:rsidP="00FD5ADD">
      <w:pPr>
        <w:spacing w:after="0"/>
        <w:jc w:val="center"/>
        <w:rPr>
          <w:rFonts w:ascii="Times New Roman" w:hAnsi="Times New Roman" w:cs="Times New Roman"/>
          <w:color w:val="0000FF"/>
          <w:sz w:val="24"/>
          <w:szCs w:val="24"/>
          <w:u w:val="single"/>
          <w:lang w:val="en-GB"/>
        </w:rPr>
      </w:pPr>
      <w:r w:rsidRPr="00FD5ADD">
        <w:rPr>
          <w:rFonts w:ascii="Times New Roman" w:hAnsi="Times New Roman" w:cs="Times New Roman"/>
          <w:color w:val="000000"/>
          <w:sz w:val="24"/>
          <w:szCs w:val="24"/>
          <w:highlight w:val="white"/>
          <w:lang w:val="en-GB"/>
        </w:rPr>
        <w:t xml:space="preserve">E-mail: </w:t>
      </w:r>
      <w:hyperlink r:id="rId15">
        <w:r w:rsidRPr="00FD5ADD">
          <w:rPr>
            <w:rFonts w:ascii="Times New Roman" w:hAnsi="Times New Roman" w:cs="Times New Roman"/>
            <w:color w:val="0000FF"/>
            <w:sz w:val="24"/>
            <w:szCs w:val="24"/>
            <w:highlight w:val="white"/>
            <w:u w:val="single"/>
            <w:lang w:val="en-GB"/>
          </w:rPr>
          <w:t>ezhllima@ubt.edu.al</w:t>
        </w:r>
      </w:hyperlink>
    </w:p>
    <w:p w14:paraId="0B702973" w14:textId="77777777" w:rsidR="00FD5ADD" w:rsidRPr="00FD5ADD" w:rsidRDefault="00FD5ADD" w:rsidP="00FD5ADD">
      <w:pPr>
        <w:spacing w:after="0"/>
        <w:jc w:val="center"/>
        <w:rPr>
          <w:rFonts w:ascii="Times New Roman" w:hAnsi="Times New Roman" w:cs="Times New Roman"/>
          <w:sz w:val="24"/>
          <w:szCs w:val="24"/>
          <w:lang w:val="en-GB"/>
        </w:rPr>
      </w:pPr>
    </w:p>
    <w:p w14:paraId="68F2DB72" w14:textId="77777777" w:rsidR="00FD5ADD" w:rsidRPr="00FD5ADD" w:rsidRDefault="00FD5ADD" w:rsidP="00FD5ADD">
      <w:pPr>
        <w:spacing w:after="0"/>
        <w:jc w:val="center"/>
        <w:rPr>
          <w:rFonts w:ascii="Times New Roman" w:hAnsi="Times New Roman" w:cs="Times New Roman"/>
          <w:b/>
          <w:bCs/>
          <w:sz w:val="24"/>
          <w:szCs w:val="24"/>
          <w:lang w:val="en-GB"/>
        </w:rPr>
      </w:pPr>
      <w:r w:rsidRPr="00FD5ADD">
        <w:rPr>
          <w:rFonts w:ascii="Times New Roman" w:hAnsi="Times New Roman" w:cs="Times New Roman"/>
          <w:b/>
          <w:bCs/>
          <w:sz w:val="24"/>
          <w:szCs w:val="24"/>
          <w:lang w:val="en-GB"/>
        </w:rPr>
        <w:t>Engjell Skreli</w:t>
      </w:r>
    </w:p>
    <w:p w14:paraId="47D986DF" w14:textId="77777777" w:rsidR="00FD5ADD" w:rsidRPr="00FD5ADD" w:rsidRDefault="00FD5ADD" w:rsidP="00FD5ADD">
      <w:pPr>
        <w:spacing w:after="0"/>
        <w:jc w:val="center"/>
        <w:rPr>
          <w:rFonts w:ascii="Times New Roman" w:hAnsi="Times New Roman" w:cs="Times New Roman"/>
          <w:color w:val="000000"/>
          <w:sz w:val="24"/>
          <w:szCs w:val="24"/>
          <w:highlight w:val="white"/>
          <w:lang w:val="en-GB"/>
        </w:rPr>
      </w:pPr>
      <w:r w:rsidRPr="00FD5ADD">
        <w:rPr>
          <w:rFonts w:ascii="Times New Roman" w:hAnsi="Times New Roman" w:cs="Times New Roman"/>
          <w:color w:val="000000"/>
          <w:sz w:val="24"/>
          <w:szCs w:val="24"/>
          <w:highlight w:val="white"/>
          <w:lang w:val="en-GB"/>
        </w:rPr>
        <w:t>Faculty of Economics and Agribusiness, Agriculture University of Tirana, Tirana, Albania.</w:t>
      </w:r>
    </w:p>
    <w:p w14:paraId="7F17E669" w14:textId="77777777" w:rsidR="00FD5ADD" w:rsidRPr="00FD5ADD" w:rsidRDefault="00FD5ADD" w:rsidP="00FD5ADD">
      <w:pPr>
        <w:spacing w:after="0"/>
        <w:jc w:val="center"/>
        <w:rPr>
          <w:rFonts w:ascii="Times New Roman" w:hAnsi="Times New Roman" w:cs="Times New Roman"/>
          <w:sz w:val="24"/>
          <w:szCs w:val="24"/>
          <w:lang w:val="en-GB"/>
        </w:rPr>
      </w:pPr>
      <w:r w:rsidRPr="00FD5ADD">
        <w:rPr>
          <w:rFonts w:ascii="Times New Roman" w:hAnsi="Times New Roman" w:cs="Times New Roman"/>
          <w:color w:val="000000"/>
          <w:sz w:val="24"/>
          <w:szCs w:val="24"/>
          <w:highlight w:val="white"/>
          <w:lang w:val="en-GB"/>
        </w:rPr>
        <w:t xml:space="preserve">E-mail: </w:t>
      </w:r>
      <w:hyperlink r:id="rId16" w:history="1">
        <w:r w:rsidRPr="00FD5ADD">
          <w:rPr>
            <w:rFonts w:ascii="Times New Roman" w:hAnsi="Times New Roman" w:cs="Times New Roman"/>
            <w:color w:val="0563C1" w:themeColor="hyperlink"/>
            <w:sz w:val="24"/>
            <w:szCs w:val="24"/>
            <w:highlight w:val="white"/>
            <w:u w:val="single"/>
            <w:lang w:val="en-GB"/>
          </w:rPr>
          <w:t>eskreli@ubt.edu.al</w:t>
        </w:r>
      </w:hyperlink>
    </w:p>
    <w:p w14:paraId="52EF3C56" w14:textId="77777777" w:rsidR="00FD5ADD" w:rsidRPr="00FD5ADD" w:rsidRDefault="00FD5ADD" w:rsidP="00FD5ADD">
      <w:pPr>
        <w:rPr>
          <w:rFonts w:ascii="Times New Roman" w:hAnsi="Times New Roman" w:cs="Times New Roman"/>
          <w:b/>
          <w:bCs/>
          <w:sz w:val="24"/>
          <w:szCs w:val="24"/>
          <w:lang w:val="en-GB"/>
        </w:rPr>
      </w:pPr>
    </w:p>
    <w:p w14:paraId="3EEA8230" w14:textId="77777777" w:rsidR="00FD5ADD" w:rsidRPr="00FD5ADD" w:rsidRDefault="00FD5ADD" w:rsidP="00FD5ADD">
      <w:pPr>
        <w:rPr>
          <w:rFonts w:ascii="Times New Roman" w:hAnsi="Times New Roman" w:cs="Times New Roman"/>
          <w:b/>
          <w:bCs/>
          <w:sz w:val="28"/>
          <w:szCs w:val="28"/>
          <w:lang w:val="en-GB"/>
        </w:rPr>
      </w:pPr>
      <w:r w:rsidRPr="00FD5ADD">
        <w:rPr>
          <w:rFonts w:ascii="Times New Roman" w:hAnsi="Times New Roman" w:cs="Times New Roman"/>
          <w:b/>
          <w:bCs/>
          <w:sz w:val="28"/>
          <w:szCs w:val="28"/>
          <w:lang w:val="en-GB"/>
        </w:rPr>
        <w:t>Abstract</w:t>
      </w:r>
    </w:p>
    <w:p w14:paraId="45914833" w14:textId="77777777" w:rsidR="00FD5ADD" w:rsidRPr="00FD5ADD" w:rsidRDefault="00FD5ADD">
      <w:pPr>
        <w:spacing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In addition to the major health global crisis that it has caused, Covid-19 pandemic has had serious consequences in every economy regardless of their income level. The restrictive measures generated large disruptions, which in turn resulted in a decline in employment, decrease of demand for goods and services, shortages in supply, reduction in trade volumes, and overall GDP contraction. Covid-19 also affected the Albanian agriculture sector. As a result of Covid-19 situation, exports of seasonal agricultural products have been hampered, thus putting pressure on farmers that grow crops in greenhouses, causing total sales drop, at a time when the intensity of production is appreciably higher than the previous years.  Limited mobility and restrictions in the access of markets, especially in the beginning of pandemic in March, made farmers reduce the prices of fruits and vegetables at the lowest levels in history, while a considerable amount of them even rot in greenhouses or cultivated fields. Farmers have experienced lack of </w:t>
      </w:r>
      <w:proofErr w:type="spellStart"/>
      <w:r w:rsidRPr="00FD5ADD">
        <w:rPr>
          <w:rFonts w:ascii="Times New Roman" w:hAnsi="Times New Roman" w:cs="Times New Roman"/>
          <w:sz w:val="24"/>
          <w:szCs w:val="24"/>
          <w:lang w:val="en-GB"/>
        </w:rPr>
        <w:t>labor</w:t>
      </w:r>
      <w:proofErr w:type="spellEnd"/>
      <w:r w:rsidRPr="00FD5ADD">
        <w:rPr>
          <w:rFonts w:ascii="Times New Roman" w:hAnsi="Times New Roman" w:cs="Times New Roman"/>
          <w:sz w:val="24"/>
          <w:szCs w:val="24"/>
          <w:lang w:val="en-GB"/>
        </w:rPr>
        <w:t xml:space="preserve"> force in processes like harvesting and planting in greenhouses production as well as in different services for the medicinal plants (ibid) There is limited in-depth understanding on the Covid-19 impact on the agriculture sector. This paper tends to cast light in this direction and provide a better understanding of Covid-19 impact on the agriculture sector by focusing on Albanian export-oriented value chains.</w:t>
      </w:r>
    </w:p>
    <w:p w14:paraId="718BA16B" w14:textId="77777777" w:rsidR="00FD5ADD" w:rsidRPr="00FD5ADD" w:rsidRDefault="00FD5ADD" w:rsidP="00FD5ADD">
      <w:pPr>
        <w:spacing w:line="276" w:lineRule="auto"/>
        <w:jc w:val="both"/>
        <w:rPr>
          <w:rFonts w:ascii="Times New Roman" w:hAnsi="Times New Roman" w:cs="Times New Roman"/>
          <w:sz w:val="24"/>
          <w:szCs w:val="24"/>
          <w:lang w:val="en-GB"/>
        </w:rPr>
      </w:pPr>
      <w:r w:rsidRPr="00FD5ADD">
        <w:rPr>
          <w:rFonts w:ascii="Times New Roman" w:hAnsi="Times New Roman" w:cs="Times New Roman"/>
          <w:b/>
          <w:bCs/>
          <w:sz w:val="24"/>
          <w:szCs w:val="24"/>
          <w:lang w:val="en-GB"/>
        </w:rPr>
        <w:t>Key Words</w:t>
      </w:r>
      <w:r w:rsidRPr="00FD5ADD">
        <w:rPr>
          <w:rFonts w:ascii="Times New Roman" w:hAnsi="Times New Roman" w:cs="Times New Roman"/>
          <w:sz w:val="24"/>
          <w:szCs w:val="24"/>
          <w:lang w:val="en-GB"/>
        </w:rPr>
        <w:t>: Albania, agriculture, Covid-19.</w:t>
      </w:r>
    </w:p>
    <w:p w14:paraId="14BC7E5C" w14:textId="77777777" w:rsidR="00FD5ADD" w:rsidRPr="00FD5ADD" w:rsidRDefault="00FD5ADD" w:rsidP="00FD5ADD">
      <w:pPr>
        <w:rPr>
          <w:rFonts w:ascii="Times New Roman" w:hAnsi="Times New Roman" w:cs="Times New Roman"/>
          <w:sz w:val="24"/>
          <w:szCs w:val="24"/>
          <w:lang w:val="en-GB"/>
        </w:rPr>
      </w:pPr>
    </w:p>
    <w:p w14:paraId="1E4845E6" w14:textId="77777777" w:rsidR="00FD5ADD" w:rsidRPr="00FD5ADD" w:rsidRDefault="00FD5ADD" w:rsidP="00FD5ADD">
      <w:pPr>
        <w:rPr>
          <w:rFonts w:ascii="Times New Roman" w:hAnsi="Times New Roman" w:cs="Times New Roman"/>
          <w:sz w:val="24"/>
          <w:szCs w:val="24"/>
          <w:lang w:val="en-GB"/>
        </w:rPr>
      </w:pPr>
    </w:p>
    <w:p w14:paraId="55AE3E0D" w14:textId="77777777" w:rsidR="00FD5ADD" w:rsidRPr="00FD5ADD" w:rsidRDefault="00FD5ADD" w:rsidP="00FD5ADD">
      <w:pPr>
        <w:rPr>
          <w:rFonts w:ascii="Times New Roman" w:hAnsi="Times New Roman" w:cs="Times New Roman"/>
          <w:lang w:val="en-GB"/>
        </w:rPr>
      </w:pPr>
    </w:p>
    <w:p w14:paraId="188F6D17" w14:textId="77777777" w:rsidR="00FD5ADD" w:rsidRPr="00FD5ADD" w:rsidRDefault="00FD5ADD" w:rsidP="00FD5ADD">
      <w:pPr>
        <w:spacing w:after="120" w:line="240" w:lineRule="auto"/>
        <w:rPr>
          <w:rFonts w:ascii="Times New Roman" w:eastAsiaTheme="minorEastAsia" w:hAnsi="Times New Roman"/>
          <w:b/>
          <w:bCs/>
          <w:iCs/>
          <w:sz w:val="28"/>
          <w:szCs w:val="28"/>
          <w:lang w:val="en-GB"/>
        </w:rPr>
      </w:pPr>
      <w:bookmarkStart w:id="1" w:name="_Toc68203038"/>
      <w:bookmarkStart w:id="2" w:name="_Toc71976335"/>
      <w:r w:rsidRPr="00FD5ADD">
        <w:rPr>
          <w:rFonts w:ascii="Times New Roman" w:eastAsiaTheme="minorEastAsia" w:hAnsi="Times New Roman"/>
          <w:b/>
          <w:bCs/>
          <w:iCs/>
          <w:sz w:val="28"/>
          <w:szCs w:val="28"/>
          <w:lang w:val="en-GB"/>
        </w:rPr>
        <w:t>1. Introduction</w:t>
      </w:r>
      <w:bookmarkEnd w:id="1"/>
      <w:bookmarkEnd w:id="2"/>
      <w:r w:rsidRPr="00FD5ADD">
        <w:rPr>
          <w:rFonts w:ascii="Times New Roman" w:eastAsiaTheme="minorEastAsia" w:hAnsi="Times New Roman"/>
          <w:b/>
          <w:bCs/>
          <w:iCs/>
          <w:sz w:val="28"/>
          <w:szCs w:val="28"/>
          <w:lang w:val="en-GB"/>
        </w:rPr>
        <w:t xml:space="preserve"> </w:t>
      </w:r>
    </w:p>
    <w:p w14:paraId="5158C234" w14:textId="77777777" w:rsidR="00FD5ADD" w:rsidRPr="00FD5ADD" w:rsidRDefault="00FD5ADD">
      <w:pPr>
        <w:spacing w:before="120" w:after="120" w:line="276" w:lineRule="auto"/>
        <w:jc w:val="both"/>
        <w:rPr>
          <w:rFonts w:ascii="Times New Roman" w:hAnsi="Times New Roman" w:cs="Times New Roman"/>
          <w:sz w:val="24"/>
          <w:szCs w:val="24"/>
          <w:lang w:val="en-GB"/>
        </w:rPr>
      </w:pPr>
      <w:bookmarkStart w:id="3" w:name="_Hlk68506959"/>
      <w:r w:rsidRPr="00FD5ADD">
        <w:rPr>
          <w:rFonts w:ascii="Times New Roman" w:hAnsi="Times New Roman" w:cs="Times New Roman"/>
          <w:sz w:val="24"/>
          <w:szCs w:val="24"/>
          <w:lang w:val="en-GB"/>
        </w:rPr>
        <w:t xml:space="preserve">In addition to the major health global crisis that it has caused, Covid-19 pandemic has had serious consequences in every economy regardless of their income level. The implemented lockdowns contributed to the slow-down of economic activities, leading to shocks from both supply and demand sides. The restrictive measures that were applied generated large disruptions, which in turn resulted in a decline in employment, decrease of demand for goods and services, shortages in supply, reduction in trade volumes, and overall GDP contractions. Different studies and reports, including IMF (2020) conclude that world is facing the worst downturn, since WWII. More specifically, the first months proved that the economy resulted to a 5.2% loss in world GDP and generation of the deepest recession curve (Canuto, 2020).  </w:t>
      </w:r>
    </w:p>
    <w:p w14:paraId="551F1D3B" w14:textId="77777777" w:rsidR="00FD5ADD" w:rsidRPr="00FD5ADD" w:rsidRDefault="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One of the most crucial economic challenges, derived by the high degree of globalization, is the disruption of global value chains and international trade which emerged after the hindering of production and the disturbances in demand or investments (Baldwin and Freeman, 2020). The United Nations (2020) analysis regarding the impact on trade and development, affirmed that developing countries are expected to endure a severe impact on poverty rates and food insecurity. On the other hand, the Covid-19 pandemic (through higher unemployment, lower income, and uncertainty) has affected negatively aggregate demand and consequently consumption (Baldwin and Mauro, 2020). </w:t>
      </w:r>
    </w:p>
    <w:p w14:paraId="25B14032" w14:textId="77777777" w:rsidR="00FD5ADD" w:rsidRPr="00FD5ADD" w:rsidRDefault="00FD5ADD">
      <w:pPr>
        <w:spacing w:before="120" w:after="120" w:line="276" w:lineRule="auto"/>
        <w:jc w:val="both"/>
        <w:rPr>
          <w:rFonts w:ascii="Times New Roman" w:hAnsi="Times New Roman" w:cs="Times New Roman"/>
          <w:color w:val="000000"/>
          <w:sz w:val="24"/>
          <w:szCs w:val="24"/>
          <w:lang w:val="en-GB"/>
        </w:rPr>
      </w:pPr>
      <w:r w:rsidRPr="00FD5ADD">
        <w:rPr>
          <w:rFonts w:ascii="Times New Roman" w:hAnsi="Times New Roman" w:cs="Times New Roman"/>
          <w:color w:val="000000"/>
          <w:sz w:val="24"/>
          <w:szCs w:val="24"/>
          <w:lang w:val="en-GB"/>
        </w:rPr>
        <w:t>There was a contraction of the Albanian economy during 2020, linked strongly to reduced consumer spending (</w:t>
      </w:r>
      <w:proofErr w:type="spellStart"/>
      <w:r w:rsidRPr="00FD5ADD">
        <w:rPr>
          <w:rFonts w:ascii="Times New Roman" w:hAnsi="Times New Roman" w:cs="Times New Roman"/>
          <w:color w:val="000000"/>
          <w:sz w:val="24"/>
          <w:szCs w:val="24"/>
          <w:lang w:val="en-GB"/>
        </w:rPr>
        <w:t>Harri</w:t>
      </w:r>
      <w:proofErr w:type="spellEnd"/>
      <w:r w:rsidRPr="00FD5ADD">
        <w:rPr>
          <w:rFonts w:ascii="Times New Roman" w:hAnsi="Times New Roman" w:cs="Times New Roman"/>
          <w:color w:val="000000"/>
          <w:sz w:val="24"/>
          <w:szCs w:val="24"/>
          <w:lang w:val="en-GB"/>
        </w:rPr>
        <w:t xml:space="preserve"> et al., 2020)</w:t>
      </w:r>
      <w:r w:rsidRPr="00FD5ADD">
        <w:rPr>
          <w:rFonts w:ascii="Times New Roman" w:hAnsi="Times New Roman" w:cs="Times New Roman"/>
          <w:sz w:val="24"/>
          <w:szCs w:val="24"/>
          <w:lang w:val="en-GB"/>
        </w:rPr>
        <w:t xml:space="preserve">. </w:t>
      </w:r>
      <w:r w:rsidRPr="00FD5ADD">
        <w:rPr>
          <w:rFonts w:ascii="Times New Roman" w:hAnsi="Times New Roman" w:cs="Times New Roman"/>
          <w:color w:val="000000"/>
          <w:sz w:val="24"/>
          <w:szCs w:val="24"/>
          <w:lang w:val="en-GB"/>
        </w:rPr>
        <w:t xml:space="preserve">The pandemic not affected households’ salaries and informal wages as well as remittances which account for a part of their consumption spending.  These remittances make up around 9.5% of the national production in Albania (Musabelliu, 2020), but after the economic crisis caused by Covid-19, the Word Bank report (2020) estimates a drop of 20% in remittances, which in turn affects the well-being of many households (which depend on remittance), contributing further to decreased demand. </w:t>
      </w:r>
    </w:p>
    <w:p w14:paraId="1BF876E3" w14:textId="77777777" w:rsidR="00FD5ADD" w:rsidRPr="00FD5ADD" w:rsidRDefault="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FAO (2020) claims that the damage in agriculture sector, especially in its markets, originate from the alternations that food demand and food supply experience in the dynamic situation of the global pandemic. Border restrictions caused difficulty in the mobility of migrant workers and interruption of trade transactions, which, in turn seriously risked the food availability (ibid). Trade disruption have affected numerous farmers in finding export markets, thus leading to product waste (UN, 2020). </w:t>
      </w:r>
    </w:p>
    <w:p w14:paraId="25F5A933" w14:textId="77777777" w:rsidR="00FD5ADD" w:rsidRPr="00FD5ADD" w:rsidRDefault="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Demand for food products is affected by the increasing uncertainty about the negative impacts Covid-19 exerts. This behaviour appears to be detrimental for the agriculture sector as well, since it directly affects the demand for food products, causing an imbalance in the food market with the main consequence of major losses for the farmers (</w:t>
      </w:r>
      <w:proofErr w:type="spellStart"/>
      <w:r w:rsidRPr="00FD5ADD">
        <w:rPr>
          <w:rFonts w:ascii="Times New Roman" w:hAnsi="Times New Roman" w:cs="Times New Roman"/>
          <w:sz w:val="24"/>
          <w:szCs w:val="24"/>
          <w:lang w:val="en-GB"/>
        </w:rPr>
        <w:t>Elleby</w:t>
      </w:r>
      <w:proofErr w:type="spellEnd"/>
      <w:r w:rsidRPr="00FD5ADD">
        <w:rPr>
          <w:rFonts w:ascii="Times New Roman" w:hAnsi="Times New Roman" w:cs="Times New Roman"/>
          <w:sz w:val="24"/>
          <w:szCs w:val="24"/>
          <w:lang w:val="en-GB"/>
        </w:rPr>
        <w:t xml:space="preserve"> et al., 2020). A fall in demand for food is also influenced by the closure of all hotels and restaurants, which buy considerable quantities of food from different farmers. This fall in demand from the largest buyers has caused a general drop </w:t>
      </w:r>
      <w:r w:rsidRPr="00FD5ADD">
        <w:rPr>
          <w:rFonts w:ascii="Times New Roman" w:hAnsi="Times New Roman" w:cs="Times New Roman"/>
          <w:sz w:val="24"/>
          <w:szCs w:val="24"/>
          <w:lang w:val="en-GB"/>
        </w:rPr>
        <w:lastRenderedPageBreak/>
        <w:t xml:space="preserve">in prices of agricultural commodities by 20%, thus hurting severely the farms’ profits (Bhosale, 2020). Some sectors such as food processing (wine) have been affected more. </w:t>
      </w:r>
    </w:p>
    <w:p w14:paraId="5C68CEFC" w14:textId="77777777" w:rsidR="00FD5ADD" w:rsidRPr="00FD5ADD" w:rsidRDefault="00FD5ADD">
      <w:pPr>
        <w:spacing w:before="120" w:after="120" w:line="276" w:lineRule="auto"/>
        <w:jc w:val="both"/>
        <w:rPr>
          <w:rFonts w:ascii="Times New Roman" w:hAnsi="Times New Roman" w:cs="Times New Roman"/>
          <w:sz w:val="24"/>
          <w:szCs w:val="24"/>
          <w:lang w:val="en-GB"/>
        </w:rPr>
      </w:pPr>
      <w:bookmarkStart w:id="4" w:name="_heading=h.3znysh7" w:colFirst="0" w:colLast="0"/>
      <w:bookmarkEnd w:id="4"/>
      <w:r w:rsidRPr="00FD5ADD">
        <w:rPr>
          <w:rFonts w:ascii="Times New Roman" w:hAnsi="Times New Roman" w:cs="Times New Roman"/>
          <w:sz w:val="24"/>
          <w:szCs w:val="24"/>
          <w:lang w:val="en-GB"/>
        </w:rPr>
        <w:t xml:space="preserve">Covid-19 also affected the Albanian agriculture sector. Comparing to other key sectors of the economy, the agriculture sector is reported to be the least affected sector since almost 81% of the sector either continued to operate fully or partly - the rest (19%) ceased their operations. (Albania Investment Council, 2020). Nevertheless, the farmers and enterprises in this sector have been affected by the restrictive measures, leading to disruptions in inputs supply chains, production processes, market channels and sales. In fact, a survey conducted by Union of Albanian Business (2020) reveals that the majority of farmers, respectively 74% of them, are mainly concerned about the decreased demand for goods. Other problems that concern less than half of the interviewed farmers are the human resource restrictions, the insufficient raw materials, and the inadequacy of other business partners for normal operation. The United Nations publication (2020) reports no significant shortages in the market for inputs, where most of the inputs are imported from abroad while partial price increase of inputs was reported. Farmers have experienced lack of </w:t>
      </w:r>
      <w:proofErr w:type="spellStart"/>
      <w:r w:rsidRPr="00FD5ADD">
        <w:rPr>
          <w:rFonts w:ascii="Times New Roman" w:hAnsi="Times New Roman" w:cs="Times New Roman"/>
          <w:sz w:val="24"/>
          <w:szCs w:val="24"/>
          <w:lang w:val="en-GB"/>
        </w:rPr>
        <w:t>labor</w:t>
      </w:r>
      <w:proofErr w:type="spellEnd"/>
      <w:r w:rsidRPr="00FD5ADD">
        <w:rPr>
          <w:rFonts w:ascii="Times New Roman" w:hAnsi="Times New Roman" w:cs="Times New Roman"/>
          <w:sz w:val="24"/>
          <w:szCs w:val="24"/>
          <w:lang w:val="en-GB"/>
        </w:rPr>
        <w:t xml:space="preserve"> force in processes like harvesting and planting in greenhouses production as well as in different services for the medicinal plants (ibid)</w:t>
      </w:r>
    </w:p>
    <w:p w14:paraId="3BD981FF" w14:textId="77777777" w:rsidR="00FD5ADD" w:rsidRPr="00FD5ADD" w:rsidRDefault="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As a result of Covid-19 situation, exports of seasonal agricultural products have been hampered, thus putting pressure on farmers that grow crops in greenhouses, causing total sales drop, at a time when the intensity of production is appreciably higher than the previous years (Musabelliu, 2020).  Limited mobility and restrictions in the access of markets, especially in the beginning of pandemic in March, made farmers reduce the prices of fruits and vegetables at the lowest levels in history, while a considerable amount of them even rot in greenhouses or cultivated fields. </w:t>
      </w:r>
    </w:p>
    <w:p w14:paraId="225CF56C" w14:textId="77777777" w:rsidR="00FD5ADD" w:rsidRPr="00FD5ADD" w:rsidRDefault="00FD5ADD">
      <w:pPr>
        <w:spacing w:before="120" w:after="120" w:line="276" w:lineRule="auto"/>
        <w:jc w:val="both"/>
        <w:rPr>
          <w:rFonts w:ascii="Times New Roman" w:hAnsi="Times New Roman" w:cs="Times New Roman"/>
          <w:sz w:val="24"/>
          <w:szCs w:val="24"/>
          <w:lang w:val="en-GB"/>
        </w:rPr>
      </w:pPr>
      <w:bookmarkStart w:id="5" w:name="_Hlk68508374"/>
      <w:r w:rsidRPr="00FD5ADD">
        <w:rPr>
          <w:rFonts w:ascii="Times New Roman" w:hAnsi="Times New Roman" w:cs="Times New Roman"/>
          <w:sz w:val="24"/>
          <w:szCs w:val="24"/>
          <w:lang w:val="en-GB"/>
        </w:rPr>
        <w:t>There is limited in-depth understanding on the Covid-19 impact on the agriculture sector. This paper tends to cast light in this direction and provide a better understanding of Covid-19 impact on the agriculture sector by focusing on Albanian export-oriented value chains.</w:t>
      </w:r>
    </w:p>
    <w:bookmarkEnd w:id="3"/>
    <w:bookmarkEnd w:id="5"/>
    <w:p w14:paraId="633FE548" w14:textId="77777777" w:rsidR="00FD5ADD" w:rsidRPr="00FD5ADD" w:rsidRDefault="00FD5ADD" w:rsidP="00FD5ADD">
      <w:pPr>
        <w:spacing w:line="276" w:lineRule="auto"/>
        <w:jc w:val="both"/>
        <w:rPr>
          <w:rFonts w:ascii="Times New Roman" w:hAnsi="Times New Roman" w:cs="Times New Roman"/>
          <w:sz w:val="24"/>
          <w:szCs w:val="24"/>
          <w:lang w:val="en-GB"/>
        </w:rPr>
      </w:pPr>
    </w:p>
    <w:p w14:paraId="2C97726A" w14:textId="77777777" w:rsidR="00FD5ADD" w:rsidRPr="00FD5ADD" w:rsidRDefault="00FD5ADD" w:rsidP="00FD5ADD">
      <w:pPr>
        <w:rPr>
          <w:rFonts w:ascii="Times New Roman" w:hAnsi="Times New Roman" w:cs="Times New Roman"/>
          <w:b/>
          <w:bCs/>
          <w:sz w:val="28"/>
          <w:szCs w:val="28"/>
          <w:lang w:val="en-GB"/>
        </w:rPr>
      </w:pPr>
      <w:bookmarkStart w:id="6" w:name="_Toc68203040"/>
      <w:bookmarkStart w:id="7" w:name="_Toc71976337"/>
      <w:r w:rsidRPr="00FD5ADD">
        <w:rPr>
          <w:rFonts w:ascii="Times New Roman" w:hAnsi="Times New Roman" w:cs="Times New Roman"/>
          <w:b/>
          <w:bCs/>
          <w:sz w:val="28"/>
          <w:szCs w:val="28"/>
          <w:lang w:val="en-GB"/>
        </w:rPr>
        <w:t>2. Methodology</w:t>
      </w:r>
      <w:bookmarkEnd w:id="6"/>
      <w:bookmarkEnd w:id="7"/>
      <w:r w:rsidRPr="00FD5ADD">
        <w:rPr>
          <w:rFonts w:ascii="Times New Roman" w:hAnsi="Times New Roman" w:cs="Times New Roman"/>
          <w:b/>
          <w:bCs/>
          <w:sz w:val="28"/>
          <w:szCs w:val="28"/>
          <w:lang w:val="en-GB"/>
        </w:rPr>
        <w:t xml:space="preserve"> </w:t>
      </w:r>
    </w:p>
    <w:p w14:paraId="490D1B1B" w14:textId="77777777" w:rsidR="00FD5ADD" w:rsidRPr="00FD5ADD" w:rsidRDefault="00FD5ADD">
      <w:pPr>
        <w:tabs>
          <w:tab w:val="left" w:pos="540"/>
        </w:tabs>
        <w:spacing w:before="120" w:after="120" w:line="276" w:lineRule="auto"/>
        <w:jc w:val="both"/>
        <w:rPr>
          <w:rFonts w:ascii="Times New Roman" w:hAnsi="Times New Roman" w:cs="Times New Roman"/>
          <w:sz w:val="24"/>
          <w:szCs w:val="24"/>
          <w:lang w:val="en-GB"/>
        </w:rPr>
      </w:pPr>
      <w:bookmarkStart w:id="8" w:name="_Hlk68508430"/>
      <w:r w:rsidRPr="00FD5ADD">
        <w:rPr>
          <w:rFonts w:ascii="Times New Roman" w:hAnsi="Times New Roman" w:cs="Times New Roman"/>
          <w:sz w:val="24"/>
          <w:szCs w:val="24"/>
          <w:lang w:val="en-GB"/>
        </w:rPr>
        <w:t xml:space="preserve">Various sources have been used to collect secondary data. The main sources of information are selected based on the type if conjectural relations from external market or from other sectors which can influence agriculture and related activities. </w:t>
      </w:r>
    </w:p>
    <w:p w14:paraId="16D5C968" w14:textId="77777777" w:rsidR="00FD5ADD" w:rsidRPr="00FD5ADD" w:rsidRDefault="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The </w:t>
      </w:r>
      <w:r w:rsidRPr="00FD5ADD">
        <w:rPr>
          <w:rFonts w:ascii="Times New Roman" w:hAnsi="Times New Roman" w:cs="Times New Roman"/>
          <w:sz w:val="24"/>
          <w:szCs w:val="24"/>
          <w:u w:val="single"/>
          <w:lang w:val="en-GB"/>
        </w:rPr>
        <w:t>primary data/information collection</w:t>
      </w:r>
      <w:r w:rsidRPr="00FD5ADD">
        <w:rPr>
          <w:rFonts w:ascii="Times New Roman" w:hAnsi="Times New Roman" w:cs="Times New Roman"/>
          <w:sz w:val="24"/>
          <w:szCs w:val="24"/>
          <w:lang w:val="en-GB"/>
        </w:rPr>
        <w:t xml:space="preserve"> consist of the following:</w:t>
      </w:r>
    </w:p>
    <w:p w14:paraId="229C5228" w14:textId="7B0B22D2" w:rsidR="00FD5ADD" w:rsidRPr="00FD5ADD" w:rsidRDefault="00FD5ADD">
      <w:pPr>
        <w:widowControl w:val="0"/>
        <w:numPr>
          <w:ilvl w:val="0"/>
          <w:numId w:val="2"/>
        </w:numPr>
        <w:overflowPunct w:val="0"/>
        <w:adjustRightInd w:val="0"/>
        <w:spacing w:before="120" w:after="120" w:line="276" w:lineRule="auto"/>
        <w:jc w:val="both"/>
        <w:rPr>
          <w:rFonts w:ascii="Times New Roman" w:eastAsia="Times New Roman" w:hAnsi="Times New Roman" w:cs="Times New Roman"/>
          <w:kern w:val="28"/>
          <w:sz w:val="24"/>
          <w:szCs w:val="24"/>
          <w:lang w:val="en-GB" w:eastAsia="en-GB"/>
        </w:rPr>
      </w:pPr>
      <w:r w:rsidRPr="00FD5ADD">
        <w:rPr>
          <w:rFonts w:ascii="Times New Roman" w:eastAsia="Times New Roman" w:hAnsi="Times New Roman" w:cs="Times New Roman"/>
          <w:kern w:val="28"/>
          <w:sz w:val="24"/>
          <w:szCs w:val="24"/>
          <w:lang w:val="en-GB" w:eastAsia="en-GB"/>
        </w:rPr>
        <w:t xml:space="preserve">About 60 semi-structured in-depth interviews were conducted (varying by the typology and the specifics of each value chain) targeting various categories of actors and experts (this is work in </w:t>
      </w:r>
      <w:r w:rsidR="005D0391" w:rsidRPr="00C603A7">
        <w:rPr>
          <w:rFonts w:ascii="Times New Roman" w:eastAsia="Times New Roman" w:hAnsi="Times New Roman" w:cs="Times New Roman"/>
          <w:kern w:val="28"/>
          <w:sz w:val="24"/>
          <w:szCs w:val="24"/>
          <w:lang w:val="en-GB" w:eastAsia="en-GB"/>
        </w:rPr>
        <w:t>progress;</w:t>
      </w:r>
      <w:r w:rsidRPr="00FD5ADD">
        <w:rPr>
          <w:rFonts w:ascii="Times New Roman" w:eastAsia="Times New Roman" w:hAnsi="Times New Roman" w:cs="Times New Roman"/>
          <w:kern w:val="28"/>
          <w:sz w:val="24"/>
          <w:szCs w:val="24"/>
          <w:lang w:val="en-GB" w:eastAsia="en-GB"/>
        </w:rPr>
        <w:t xml:space="preserve"> </w:t>
      </w:r>
      <w:r w:rsidR="005D0391" w:rsidRPr="00C603A7">
        <w:rPr>
          <w:rFonts w:ascii="Times New Roman" w:eastAsia="Times New Roman" w:hAnsi="Times New Roman" w:cs="Times New Roman"/>
          <w:kern w:val="28"/>
          <w:sz w:val="24"/>
          <w:szCs w:val="24"/>
          <w:lang w:val="en-GB" w:eastAsia="en-GB"/>
        </w:rPr>
        <w:t>therefore,</w:t>
      </w:r>
      <w:r w:rsidRPr="00FD5ADD">
        <w:rPr>
          <w:rFonts w:ascii="Times New Roman" w:eastAsia="Times New Roman" w:hAnsi="Times New Roman" w:cs="Times New Roman"/>
          <w:kern w:val="28"/>
          <w:sz w:val="24"/>
          <w:szCs w:val="24"/>
          <w:lang w:val="en-GB" w:eastAsia="en-GB"/>
        </w:rPr>
        <w:t xml:space="preserve"> the number of interviews will be reported in the final report). For the </w:t>
      </w:r>
      <w:r w:rsidRPr="00FD5ADD">
        <w:rPr>
          <w:rFonts w:ascii="Times New Roman" w:eastAsia="Times New Roman" w:hAnsi="Times New Roman" w:cs="Times New Roman"/>
          <w:kern w:val="28"/>
          <w:sz w:val="24"/>
          <w:szCs w:val="24"/>
          <w:u w:val="single"/>
          <w:lang w:val="en-GB" w:eastAsia="en-GB"/>
        </w:rPr>
        <w:t>semi-structured in-depth interviews</w:t>
      </w:r>
      <w:r w:rsidRPr="00FD5ADD">
        <w:rPr>
          <w:rFonts w:ascii="Times New Roman" w:eastAsia="Times New Roman" w:hAnsi="Times New Roman" w:cs="Times New Roman"/>
          <w:kern w:val="28"/>
          <w:sz w:val="24"/>
          <w:szCs w:val="24"/>
          <w:lang w:val="en-GB" w:eastAsia="en-GB"/>
        </w:rPr>
        <w:t xml:space="preserve">, a snowball survey is used to identify the main actors and experts for each value chain for the semi-structured interviews (part of the primary </w:t>
      </w:r>
      <w:r w:rsidRPr="00FD5ADD">
        <w:rPr>
          <w:rFonts w:ascii="Times New Roman" w:eastAsia="Times New Roman" w:hAnsi="Times New Roman" w:cs="Times New Roman"/>
          <w:kern w:val="28"/>
          <w:sz w:val="24"/>
          <w:szCs w:val="24"/>
          <w:lang w:val="en-GB" w:eastAsia="en-GB"/>
        </w:rPr>
        <w:lastRenderedPageBreak/>
        <w:t>qualitative research)</w:t>
      </w:r>
      <w:r w:rsidRPr="00FD5ADD">
        <w:rPr>
          <w:rFonts w:ascii="Times New Roman" w:eastAsia="Times New Roman" w:hAnsi="Times New Roman" w:cs="Times New Roman"/>
          <w:kern w:val="28"/>
          <w:sz w:val="24"/>
          <w:szCs w:val="24"/>
          <w:vertAlign w:val="superscript"/>
          <w:lang w:val="en-GB" w:eastAsia="en-GB"/>
        </w:rPr>
        <w:footnoteReference w:id="1"/>
      </w:r>
      <w:r w:rsidRPr="00FD5ADD">
        <w:rPr>
          <w:rFonts w:ascii="Times New Roman" w:eastAsia="Times New Roman" w:hAnsi="Times New Roman" w:cs="Times New Roman"/>
          <w:kern w:val="28"/>
          <w:sz w:val="24"/>
          <w:szCs w:val="24"/>
          <w:lang w:val="en-GB" w:eastAsia="en-GB"/>
        </w:rPr>
        <w:t xml:space="preserve">. Separate questionnaires and interview guides were used after testing for each category of value chain actors.  </w:t>
      </w:r>
    </w:p>
    <w:p w14:paraId="620884EC" w14:textId="77777777" w:rsidR="00FD5ADD" w:rsidRPr="00FD5ADD" w:rsidRDefault="00FD5ADD" w:rsidP="00FD5ADD">
      <w:pPr>
        <w:widowControl w:val="0"/>
        <w:numPr>
          <w:ilvl w:val="0"/>
          <w:numId w:val="2"/>
        </w:numPr>
        <w:overflowPunct w:val="0"/>
        <w:adjustRightInd w:val="0"/>
        <w:spacing w:before="120" w:after="120" w:line="276" w:lineRule="auto"/>
        <w:jc w:val="both"/>
        <w:rPr>
          <w:rFonts w:ascii="Times New Roman" w:eastAsia="Times New Roman" w:hAnsi="Times New Roman" w:cs="Times New Roman"/>
          <w:kern w:val="28"/>
          <w:sz w:val="24"/>
          <w:szCs w:val="24"/>
          <w:lang w:val="en-GB" w:eastAsia="en-GB"/>
        </w:rPr>
      </w:pPr>
      <w:r w:rsidRPr="00FD5ADD">
        <w:rPr>
          <w:rFonts w:ascii="Times New Roman" w:eastAsia="Times New Roman" w:hAnsi="Times New Roman" w:cs="Times New Roman"/>
          <w:kern w:val="28"/>
          <w:sz w:val="24"/>
          <w:szCs w:val="24"/>
          <w:lang w:val="en-GB" w:eastAsia="en-GB"/>
        </w:rPr>
        <w:t xml:space="preserve">Structured survey with 137 agriculture extension services specialists, following best practices/examples of cooperation. MARD agriculture extension services specialists are diffused throughout Albania and are well-informed about latest development for all major agri-food value chains. Through the survey was assessed the perceived Covid-19's impact on production, farm sales (quantities), prices access to inputs, advice and investments decisions. </w:t>
      </w:r>
    </w:p>
    <w:p w14:paraId="7BE03B01" w14:textId="77777777" w:rsidR="00FD5ADD" w:rsidRPr="00FD5ADD" w:rsidRDefault="00FD5ADD" w:rsidP="00FD5ADD">
      <w:pPr>
        <w:widowControl w:val="0"/>
        <w:numPr>
          <w:ilvl w:val="0"/>
          <w:numId w:val="2"/>
        </w:numPr>
        <w:overflowPunct w:val="0"/>
        <w:adjustRightInd w:val="0"/>
        <w:spacing w:before="120" w:after="120" w:line="276" w:lineRule="auto"/>
        <w:jc w:val="both"/>
        <w:rPr>
          <w:rFonts w:ascii="Times New Roman" w:eastAsia="Times New Roman" w:hAnsi="Times New Roman" w:cs="Times New Roman"/>
          <w:kern w:val="28"/>
          <w:sz w:val="24"/>
          <w:szCs w:val="24"/>
          <w:lang w:val="en-GB" w:eastAsia="en-GB"/>
        </w:rPr>
      </w:pPr>
      <w:r w:rsidRPr="00FD5ADD">
        <w:rPr>
          <w:rFonts w:ascii="Times New Roman" w:eastAsia="Times New Roman" w:hAnsi="Times New Roman" w:cs="Times New Roman"/>
          <w:kern w:val="28"/>
          <w:sz w:val="24"/>
          <w:szCs w:val="24"/>
          <w:lang w:val="en-GB" w:eastAsia="en-GB"/>
        </w:rPr>
        <w:t xml:space="preserve">Structured rapid survey with 535 farmers (see in box the sample characteristics). This was not foreseen in the </w:t>
      </w:r>
      <w:proofErr w:type="spellStart"/>
      <w:r w:rsidRPr="00FD5ADD">
        <w:rPr>
          <w:rFonts w:ascii="Times New Roman" w:eastAsia="Times New Roman" w:hAnsi="Times New Roman" w:cs="Times New Roman"/>
          <w:kern w:val="28"/>
          <w:sz w:val="24"/>
          <w:szCs w:val="24"/>
          <w:lang w:val="en-GB" w:eastAsia="en-GB"/>
        </w:rPr>
        <w:t>ToR</w:t>
      </w:r>
      <w:proofErr w:type="spellEnd"/>
      <w:r w:rsidRPr="00FD5ADD">
        <w:rPr>
          <w:rFonts w:ascii="Times New Roman" w:eastAsia="Times New Roman" w:hAnsi="Times New Roman" w:cs="Times New Roman"/>
          <w:kern w:val="28"/>
          <w:sz w:val="24"/>
          <w:szCs w:val="24"/>
          <w:lang w:val="en-GB" w:eastAsia="en-GB"/>
        </w:rPr>
        <w:t>/</w:t>
      </w:r>
      <w:proofErr w:type="spellStart"/>
      <w:r w:rsidRPr="00FD5ADD">
        <w:rPr>
          <w:rFonts w:ascii="Times New Roman" w:eastAsia="Times New Roman" w:hAnsi="Times New Roman" w:cs="Times New Roman"/>
          <w:kern w:val="28"/>
          <w:sz w:val="24"/>
          <w:szCs w:val="24"/>
          <w:lang w:val="en-GB" w:eastAsia="en-GB"/>
        </w:rPr>
        <w:t>RfP</w:t>
      </w:r>
      <w:proofErr w:type="spellEnd"/>
      <w:r w:rsidRPr="00FD5ADD">
        <w:rPr>
          <w:rFonts w:ascii="Times New Roman" w:eastAsia="Times New Roman" w:hAnsi="Times New Roman" w:cs="Times New Roman"/>
          <w:kern w:val="28"/>
          <w:sz w:val="24"/>
          <w:szCs w:val="24"/>
          <w:lang w:val="en-GB" w:eastAsia="en-GB"/>
        </w:rPr>
        <w:t xml:space="preserve"> or in the inception report (as such is a contribution in kind from the project team), thus it is an important (unforeseen) added value. Semi-structured interviews provide mainly qualitative information and perceptions, the extension structured survey aims to quantify assessment, which are still based on perceptions. To tackle these limitations (limited quantitative assessments and subjectivity characterizing semi-structured interviews), we decided to carry out a structured farm survey, utilizing databases of previous farms surveys, thereby also enabling comparison of farm development dynamics over time (also in conjunction to Covid-19).  Interviews were carried out by telephone (as highlighted, this was not part of the </w:t>
      </w:r>
      <w:proofErr w:type="spellStart"/>
      <w:r w:rsidRPr="00FD5ADD">
        <w:rPr>
          <w:rFonts w:ascii="Times New Roman" w:eastAsia="Times New Roman" w:hAnsi="Times New Roman" w:cs="Times New Roman"/>
          <w:kern w:val="28"/>
          <w:sz w:val="24"/>
          <w:szCs w:val="24"/>
          <w:lang w:val="en-GB" w:eastAsia="en-GB"/>
        </w:rPr>
        <w:t>ToR</w:t>
      </w:r>
      <w:proofErr w:type="spellEnd"/>
      <w:r w:rsidRPr="00FD5ADD">
        <w:rPr>
          <w:rFonts w:ascii="Times New Roman" w:eastAsia="Times New Roman" w:hAnsi="Times New Roman" w:cs="Times New Roman"/>
          <w:kern w:val="28"/>
          <w:sz w:val="24"/>
          <w:szCs w:val="24"/>
          <w:lang w:val="en-GB" w:eastAsia="en-GB"/>
        </w:rPr>
        <w:t xml:space="preserve"> or was not foreseen in the budget, and in addition, large field surveys are not feasible under Covid-19 conditions).</w:t>
      </w:r>
    </w:p>
    <w:p w14:paraId="64449D6E" w14:textId="77777777" w:rsidR="00FD5ADD" w:rsidRPr="00FD5ADD" w:rsidRDefault="00FD5ADD" w:rsidP="00FD5ADD">
      <w:pPr>
        <w:widowControl w:val="0"/>
        <w:numPr>
          <w:ilvl w:val="0"/>
          <w:numId w:val="2"/>
        </w:numPr>
        <w:overflowPunct w:val="0"/>
        <w:adjustRightInd w:val="0"/>
        <w:spacing w:before="120" w:after="120" w:line="276" w:lineRule="auto"/>
        <w:jc w:val="both"/>
        <w:rPr>
          <w:rFonts w:ascii="Times New Roman" w:eastAsia="Times New Roman" w:hAnsi="Times New Roman" w:cs="Times New Roman"/>
          <w:kern w:val="28"/>
          <w:sz w:val="24"/>
          <w:szCs w:val="24"/>
          <w:lang w:val="en-GB" w:eastAsia="en-GB"/>
        </w:rPr>
      </w:pPr>
      <w:r w:rsidRPr="00FD5ADD">
        <w:rPr>
          <w:rFonts w:ascii="Times New Roman" w:eastAsia="Times New Roman" w:hAnsi="Times New Roman" w:cs="Times New Roman"/>
          <w:kern w:val="28"/>
          <w:sz w:val="24"/>
          <w:szCs w:val="24"/>
          <w:lang w:val="en-GB" w:eastAsia="en-GB"/>
        </w:rPr>
        <w:t>Two focus groups were organized to identify main constrains and validate findings from the survey and semi-structured interviews. One focus group was carried out with fruits value chain actors (consolidators, wholesalers, exporters, and service suppliers) and a second one with greenhouse producers. A constrain analysis, mainly linked with the pandemic period was carried out. Then, focus group members were guided to prioritize in a commonly prepared list, the most effective support measures to be taken for overcoming the bottlenecks of Covid-19.</w:t>
      </w:r>
    </w:p>
    <w:p w14:paraId="37587FC5" w14:textId="3682673A" w:rsidR="00FD5ADD" w:rsidRDefault="00FD5ADD" w:rsidP="00FD5ADD">
      <w:pPr>
        <w:rPr>
          <w:rFonts w:ascii="Times New Roman" w:eastAsia="Times" w:hAnsi="Times New Roman" w:cs="Times New Roman"/>
          <w:lang w:val="en-GB"/>
        </w:rPr>
      </w:pPr>
      <w:bookmarkStart w:id="9" w:name="_Hlk68515976"/>
      <w:bookmarkEnd w:id="8"/>
    </w:p>
    <w:p w14:paraId="43BEEB0B" w14:textId="0E4BF012" w:rsidR="00626499" w:rsidRDefault="00626499" w:rsidP="00FD5ADD">
      <w:pPr>
        <w:rPr>
          <w:rFonts w:ascii="Times New Roman" w:eastAsia="Times" w:hAnsi="Times New Roman" w:cs="Times New Roman"/>
          <w:lang w:val="en-GB"/>
        </w:rPr>
      </w:pPr>
    </w:p>
    <w:p w14:paraId="1245ABAC" w14:textId="1D2ED448" w:rsidR="00626499" w:rsidRDefault="00626499" w:rsidP="00FD5ADD">
      <w:pPr>
        <w:rPr>
          <w:rFonts w:ascii="Times New Roman" w:eastAsia="Times" w:hAnsi="Times New Roman" w:cs="Times New Roman"/>
          <w:lang w:val="en-GB"/>
        </w:rPr>
      </w:pPr>
    </w:p>
    <w:p w14:paraId="2892859B" w14:textId="77777777" w:rsidR="00626499" w:rsidRPr="00FD5ADD" w:rsidRDefault="00626499" w:rsidP="00FD5ADD">
      <w:pPr>
        <w:rPr>
          <w:rFonts w:ascii="Times New Roman" w:eastAsia="Times" w:hAnsi="Times New Roman" w:cs="Times New Roman"/>
          <w:lang w:val="en-GB"/>
        </w:rPr>
      </w:pPr>
    </w:p>
    <w:p w14:paraId="592A773D" w14:textId="77777777" w:rsidR="00FD5ADD" w:rsidRPr="00FD5ADD" w:rsidRDefault="00FD5ADD" w:rsidP="00FD5ADD">
      <w:pPr>
        <w:keepNext/>
        <w:keepLines/>
        <w:spacing w:before="240" w:after="120" w:line="240" w:lineRule="auto"/>
        <w:jc w:val="both"/>
        <w:outlineLvl w:val="0"/>
        <w:rPr>
          <w:rFonts w:ascii="Times New Roman" w:eastAsiaTheme="majorEastAsia" w:hAnsi="Times New Roman" w:cs="Times New Roman"/>
          <w:b/>
          <w:bCs/>
          <w:sz w:val="28"/>
          <w:szCs w:val="28"/>
          <w:lang w:val="en-GB"/>
        </w:rPr>
      </w:pPr>
      <w:bookmarkStart w:id="10" w:name="_Toc71976340"/>
      <w:bookmarkStart w:id="11" w:name="_Toc68203113"/>
      <w:r w:rsidRPr="00FD5ADD">
        <w:rPr>
          <w:rFonts w:ascii="Times New Roman" w:eastAsiaTheme="majorEastAsia" w:hAnsi="Times New Roman" w:cs="Times New Roman"/>
          <w:b/>
          <w:bCs/>
          <w:sz w:val="28"/>
          <w:szCs w:val="28"/>
          <w:lang w:val="en-GB"/>
        </w:rPr>
        <w:lastRenderedPageBreak/>
        <w:t>3. Covid-19 impact</w:t>
      </w:r>
      <w:bookmarkEnd w:id="10"/>
      <w:r w:rsidRPr="00FD5ADD">
        <w:rPr>
          <w:rFonts w:ascii="Times New Roman" w:eastAsiaTheme="majorEastAsia" w:hAnsi="Times New Roman" w:cs="Times New Roman"/>
          <w:b/>
          <w:bCs/>
          <w:sz w:val="28"/>
          <w:szCs w:val="28"/>
          <w:lang w:val="en-GB"/>
        </w:rPr>
        <w:t xml:space="preserve"> </w:t>
      </w:r>
      <w:bookmarkEnd w:id="11"/>
    </w:p>
    <w:p w14:paraId="4D2D54B9"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During the field survey and secondary data analysis we could observe different prospects from the demand / market viewpoint during the first months of the pandemic, and then a different pattern in the following months. Therefore, in the analysis we pay special attention to the different periods and patterns. </w:t>
      </w:r>
    </w:p>
    <w:p w14:paraId="5F1816D2" w14:textId="77777777" w:rsidR="00FD5ADD" w:rsidRPr="00FD5ADD" w:rsidRDefault="00FD5ADD" w:rsidP="00FD5ADD">
      <w:pPr>
        <w:spacing w:before="120" w:after="120" w:line="276" w:lineRule="auto"/>
        <w:jc w:val="both"/>
        <w:rPr>
          <w:rFonts w:ascii="Times New Roman" w:hAnsi="Times New Roman" w:cs="Times New Roman"/>
          <w:sz w:val="24"/>
          <w:szCs w:val="24"/>
          <w:u w:val="single"/>
          <w:lang w:val="en-GB"/>
        </w:rPr>
      </w:pPr>
      <w:r w:rsidRPr="00FD5ADD">
        <w:rPr>
          <w:rFonts w:ascii="Times New Roman" w:hAnsi="Times New Roman" w:cs="Times New Roman"/>
          <w:sz w:val="24"/>
          <w:szCs w:val="24"/>
          <w:u w:val="single"/>
          <w:lang w:val="en-GB"/>
        </w:rPr>
        <w:t>Increased demand has been observed during the first months of the pandemics</w:t>
      </w:r>
    </w:p>
    <w:p w14:paraId="3A30596B"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During the first months, there was not observed lack of demand – in some cases was observed increased demand, as people bought excessive amounts to face the lockdown. </w:t>
      </w:r>
    </w:p>
    <w:p w14:paraId="6BE3439F"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“During Covid-19, there was increased demand, probably because people spent more time at home eating”, stated one interviewee.</w:t>
      </w:r>
    </w:p>
    <w:p w14:paraId="08A61E3B"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“The first 2 weeks, households had a rush to buy durable food such as spaghetti, but after the first 2 weeks households came back to buy more fruits and vegetables and, in some cases, increased prices were observed”, stated another interviewee. </w:t>
      </w:r>
    </w:p>
    <w:p w14:paraId="67E26D76" w14:textId="77777777" w:rsidR="00FD5ADD" w:rsidRPr="00FD5ADD" w:rsidRDefault="00FD5ADD" w:rsidP="00FD5ADD">
      <w:pPr>
        <w:spacing w:before="120" w:after="120" w:line="276" w:lineRule="auto"/>
        <w:jc w:val="both"/>
        <w:rPr>
          <w:rFonts w:ascii="Times New Roman" w:hAnsi="Times New Roman" w:cs="Times New Roman"/>
          <w:sz w:val="24"/>
          <w:szCs w:val="24"/>
          <w:u w:val="single"/>
          <w:lang w:val="en-GB"/>
        </w:rPr>
      </w:pPr>
      <w:r w:rsidRPr="00FD5ADD">
        <w:rPr>
          <w:rFonts w:ascii="Times New Roman" w:hAnsi="Times New Roman" w:cs="Times New Roman"/>
          <w:sz w:val="24"/>
          <w:szCs w:val="24"/>
          <w:u w:val="single"/>
          <w:lang w:val="en-GB"/>
        </w:rPr>
        <w:t>Demand for food has been adversely affected afterwards</w:t>
      </w:r>
    </w:p>
    <w:p w14:paraId="748E3243"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During autumn, sales have decreased – the main impact of Covid19 was on lowering domestic and international markets consumption. For example, one interviewed large exporter claimed that recently they lost 5 trucks of greenhouse vegetable, because they could not sell. </w:t>
      </w:r>
    </w:p>
    <w:p w14:paraId="0E2B31D9"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One of the leading exporters claimed they lost 8 million ALL in October alone because they were not able to sell the products. According to one of the largest wholesalers, its supplying farmers could not sell almost ½ of their produce (which was lost). </w:t>
      </w:r>
    </w:p>
    <w:p w14:paraId="2A240EE6"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“This season (October – December) was the ever-worst season that I have experienced during the 22 years I have been in this business” – stated one exporter.  </w:t>
      </w:r>
    </w:p>
    <w:p w14:paraId="445C68D1"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“When the price of products drops, in turn farmer has less money to spend for inputs, which in turn results again in low quality but also lower yield, which implies higher cost per Kg, thus establishing a vicious circle”, stated one trader.</w:t>
      </w:r>
    </w:p>
    <w:p w14:paraId="282DFCE8"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Sales of inputs have decreased by about 1/3 during 2020, according to one major wholesale input supplier (who supplies over 100 input suppliers). </w:t>
      </w:r>
    </w:p>
    <w:p w14:paraId="074C281A"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However not all producers and traders faced the same problems. One leading exporter which exports to Northern European markets and who is GlobalGAP certified (group certification), who operates with contracts with farmers and works with farmer groups, claimed that they were not affected, thus, no price decline was observed. Clearly, the type of market, the form of value chain organization, and market diversification strategy play an important role. </w:t>
      </w:r>
    </w:p>
    <w:p w14:paraId="0FAB1C6E"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The pandemic has emphasized the main difficulties which are inherited from the past. During Covid-19 pandemic there is a slight change in terms of access to services. According to the survey with farmers only 1/5 of the respondents accepted that pandemic has reduced their access to extension services. The figures are almost the same for services provided by local government. </w:t>
      </w:r>
      <w:r w:rsidRPr="00FD5ADD">
        <w:rPr>
          <w:rFonts w:ascii="Times New Roman" w:hAnsi="Times New Roman" w:cs="Times New Roman"/>
          <w:sz w:val="24"/>
          <w:szCs w:val="24"/>
          <w:lang w:val="en-GB"/>
        </w:rPr>
        <w:lastRenderedPageBreak/>
        <w:t xml:space="preserve">The overall business environment, mostly related to other institutions and services, has been impacted according to more than 40% of the respondents. </w:t>
      </w:r>
    </w:p>
    <w:p w14:paraId="326E572B" w14:textId="77777777" w:rsidR="00FD5ADD" w:rsidRPr="00FD5ADD" w:rsidRDefault="00FD5ADD" w:rsidP="00FD5ADD">
      <w:pPr>
        <w:rPr>
          <w:rFonts w:ascii="Times New Roman" w:hAnsi="Times New Roman" w:cs="Times New Roman"/>
          <w:lang w:val="en-GB"/>
        </w:rPr>
      </w:pPr>
    </w:p>
    <w:p w14:paraId="4E12D0BB" w14:textId="77777777" w:rsidR="00FD5ADD" w:rsidRPr="00FD5ADD" w:rsidRDefault="00FD5ADD" w:rsidP="00FD5ADD">
      <w:pPr>
        <w:spacing w:before="120" w:after="120" w:line="240" w:lineRule="auto"/>
        <w:rPr>
          <w:rFonts w:ascii="Times New Roman" w:eastAsia="SimSun" w:hAnsi="Times New Roman" w:cs="Times New Roman"/>
          <w:bCs/>
          <w:sz w:val="24"/>
          <w:szCs w:val="24"/>
          <w:lang w:val="en-GB"/>
        </w:rPr>
      </w:pPr>
      <w:bookmarkStart w:id="12" w:name="_Toc71976464"/>
      <w:r w:rsidRPr="00FD5ADD">
        <w:rPr>
          <w:rFonts w:ascii="Times New Roman" w:eastAsia="Times New Roman" w:hAnsi="Times New Roman" w:cs="Times New Roman"/>
          <w:bCs/>
          <w:sz w:val="24"/>
          <w:szCs w:val="24"/>
          <w:lang w:val="en-GB"/>
        </w:rPr>
        <w:t xml:space="preserve">Table </w:t>
      </w:r>
      <w:r w:rsidRPr="00FD5ADD">
        <w:rPr>
          <w:rFonts w:ascii="Times New Roman" w:eastAsia="Times New Roman" w:hAnsi="Times New Roman" w:cs="Times New Roman"/>
          <w:bCs/>
          <w:sz w:val="24"/>
          <w:szCs w:val="24"/>
          <w:lang w:val="en-GB"/>
        </w:rPr>
        <w:fldChar w:fldCharType="begin"/>
      </w:r>
      <w:r w:rsidRPr="00FD5ADD">
        <w:rPr>
          <w:rFonts w:ascii="Times New Roman" w:eastAsia="Times New Roman" w:hAnsi="Times New Roman" w:cs="Times New Roman"/>
          <w:bCs/>
          <w:sz w:val="24"/>
          <w:szCs w:val="24"/>
          <w:lang w:val="en-GB"/>
        </w:rPr>
        <w:instrText xml:space="preserve"> SEQ Table \* ARABIC </w:instrText>
      </w:r>
      <w:r w:rsidRPr="00FD5ADD">
        <w:rPr>
          <w:rFonts w:ascii="Times New Roman" w:eastAsia="Times New Roman" w:hAnsi="Times New Roman" w:cs="Times New Roman"/>
          <w:bCs/>
          <w:sz w:val="24"/>
          <w:szCs w:val="24"/>
          <w:lang w:val="en-GB"/>
        </w:rPr>
        <w:fldChar w:fldCharType="separate"/>
      </w:r>
      <w:r w:rsidRPr="00FD5ADD">
        <w:rPr>
          <w:rFonts w:ascii="Times New Roman" w:eastAsia="Times New Roman" w:hAnsi="Times New Roman" w:cs="Times New Roman"/>
          <w:bCs/>
          <w:noProof/>
          <w:sz w:val="24"/>
          <w:szCs w:val="24"/>
          <w:lang w:val="en-GB"/>
        </w:rPr>
        <w:t>1</w:t>
      </w:r>
      <w:r w:rsidRPr="00FD5ADD">
        <w:rPr>
          <w:rFonts w:ascii="Times New Roman" w:eastAsia="Times New Roman" w:hAnsi="Times New Roman" w:cs="Times New Roman"/>
          <w:bCs/>
          <w:noProof/>
          <w:sz w:val="24"/>
          <w:szCs w:val="24"/>
          <w:lang w:val="en-GB"/>
        </w:rPr>
        <w:fldChar w:fldCharType="end"/>
      </w:r>
      <w:r w:rsidRPr="00FD5ADD">
        <w:rPr>
          <w:rFonts w:ascii="Times New Roman" w:eastAsia="SimSun" w:hAnsi="Times New Roman" w:cs="Times New Roman"/>
          <w:bCs/>
          <w:sz w:val="24"/>
          <w:szCs w:val="24"/>
          <w:lang w:val="en-GB"/>
        </w:rPr>
        <w:t>: Covid-19 impact enabling environment</w:t>
      </w:r>
      <w:bookmarkEnd w:id="12"/>
    </w:p>
    <w:tbl>
      <w:tblPr>
        <w:tblStyle w:val="APAReport"/>
        <w:tblW w:w="9618" w:type="dxa"/>
        <w:tblLook w:val="04A0" w:firstRow="1" w:lastRow="0" w:firstColumn="1" w:lastColumn="0" w:noHBand="0" w:noVBand="1"/>
      </w:tblPr>
      <w:tblGrid>
        <w:gridCol w:w="4773"/>
        <w:gridCol w:w="1286"/>
        <w:gridCol w:w="970"/>
        <w:gridCol w:w="1194"/>
        <w:gridCol w:w="1395"/>
      </w:tblGrid>
      <w:tr w:rsidR="00FD5ADD" w:rsidRPr="00FD5ADD" w14:paraId="594490C2" w14:textId="77777777" w:rsidTr="00F35B58">
        <w:trPr>
          <w:cnfStyle w:val="100000000000" w:firstRow="1" w:lastRow="0" w:firstColumn="0" w:lastColumn="0" w:oddVBand="0" w:evenVBand="0" w:oddHBand="0" w:evenHBand="0" w:firstRowFirstColumn="0" w:firstRowLastColumn="0" w:lastRowFirstColumn="0" w:lastRowLastColumn="0"/>
          <w:trHeight w:val="307"/>
        </w:trPr>
        <w:tc>
          <w:tcPr>
            <w:tcW w:w="4773" w:type="dxa"/>
            <w:noWrap/>
            <w:hideMark/>
          </w:tcPr>
          <w:p w14:paraId="42DE740B" w14:textId="77777777" w:rsidR="00FD5ADD" w:rsidRPr="00FD5ADD" w:rsidRDefault="00FD5ADD" w:rsidP="00FD5ADD">
            <w:pPr>
              <w:spacing w:line="276" w:lineRule="auto"/>
              <w:rPr>
                <w:b/>
                <w:bCs/>
                <w:kern w:val="24"/>
                <w:sz w:val="20"/>
                <w:szCs w:val="20"/>
                <w:lang w:val="en-GB"/>
              </w:rPr>
            </w:pPr>
            <w:r w:rsidRPr="00FD5ADD">
              <w:rPr>
                <w:b/>
                <w:bCs/>
                <w:kern w:val="24"/>
                <w:sz w:val="20"/>
                <w:lang w:val="en-GB"/>
              </w:rPr>
              <w:t>Measurement scale</w:t>
            </w:r>
          </w:p>
        </w:tc>
        <w:tc>
          <w:tcPr>
            <w:tcW w:w="1286" w:type="dxa"/>
            <w:noWrap/>
            <w:hideMark/>
          </w:tcPr>
          <w:p w14:paraId="6B16A93A" w14:textId="77777777" w:rsidR="00FD5ADD" w:rsidRPr="00FD5ADD" w:rsidRDefault="00FD5ADD" w:rsidP="00FD5ADD">
            <w:pPr>
              <w:spacing w:line="276" w:lineRule="auto"/>
              <w:jc w:val="center"/>
              <w:rPr>
                <w:b/>
                <w:bCs/>
                <w:kern w:val="24"/>
                <w:sz w:val="20"/>
                <w:szCs w:val="20"/>
                <w:lang w:val="en-GB"/>
              </w:rPr>
            </w:pPr>
            <w:r w:rsidRPr="00FD5ADD">
              <w:rPr>
                <w:b/>
                <w:bCs/>
                <w:kern w:val="24"/>
                <w:sz w:val="20"/>
                <w:lang w:val="en-GB"/>
              </w:rPr>
              <w:t>Not at all a problem</w:t>
            </w:r>
          </w:p>
        </w:tc>
        <w:tc>
          <w:tcPr>
            <w:tcW w:w="970" w:type="dxa"/>
            <w:noWrap/>
            <w:hideMark/>
          </w:tcPr>
          <w:p w14:paraId="5F67111A" w14:textId="77777777" w:rsidR="00FD5ADD" w:rsidRPr="00FD5ADD" w:rsidRDefault="00FD5ADD" w:rsidP="00FD5ADD">
            <w:pPr>
              <w:spacing w:line="276" w:lineRule="auto"/>
              <w:jc w:val="center"/>
              <w:rPr>
                <w:b/>
                <w:bCs/>
                <w:kern w:val="24"/>
                <w:sz w:val="20"/>
                <w:szCs w:val="20"/>
                <w:lang w:val="en-GB"/>
              </w:rPr>
            </w:pPr>
            <w:r w:rsidRPr="00FD5ADD">
              <w:rPr>
                <w:b/>
                <w:bCs/>
                <w:kern w:val="24"/>
                <w:sz w:val="20"/>
                <w:lang w:val="en-GB"/>
              </w:rPr>
              <w:t>Minor problem</w:t>
            </w:r>
          </w:p>
        </w:tc>
        <w:tc>
          <w:tcPr>
            <w:tcW w:w="1194" w:type="dxa"/>
            <w:noWrap/>
            <w:hideMark/>
          </w:tcPr>
          <w:p w14:paraId="1007F62E" w14:textId="77777777" w:rsidR="00FD5ADD" w:rsidRPr="00FD5ADD" w:rsidRDefault="00FD5ADD" w:rsidP="00FD5ADD">
            <w:pPr>
              <w:spacing w:line="276" w:lineRule="auto"/>
              <w:jc w:val="center"/>
              <w:rPr>
                <w:b/>
                <w:bCs/>
                <w:kern w:val="24"/>
                <w:sz w:val="20"/>
                <w:szCs w:val="20"/>
                <w:lang w:val="en-GB"/>
              </w:rPr>
            </w:pPr>
            <w:r w:rsidRPr="00FD5ADD">
              <w:rPr>
                <w:b/>
                <w:bCs/>
                <w:kern w:val="24"/>
                <w:sz w:val="20"/>
                <w:lang w:val="en-GB"/>
              </w:rPr>
              <w:t>Moderate problem</w:t>
            </w:r>
          </w:p>
        </w:tc>
        <w:tc>
          <w:tcPr>
            <w:tcW w:w="1395" w:type="dxa"/>
            <w:noWrap/>
            <w:hideMark/>
          </w:tcPr>
          <w:p w14:paraId="1C7BED1F" w14:textId="77777777" w:rsidR="00FD5ADD" w:rsidRPr="00FD5ADD" w:rsidRDefault="00FD5ADD" w:rsidP="00FD5ADD">
            <w:pPr>
              <w:spacing w:line="276" w:lineRule="auto"/>
              <w:jc w:val="center"/>
              <w:rPr>
                <w:b/>
                <w:bCs/>
                <w:kern w:val="24"/>
                <w:sz w:val="20"/>
                <w:szCs w:val="20"/>
                <w:lang w:val="en-GB"/>
              </w:rPr>
            </w:pPr>
            <w:r w:rsidRPr="00FD5ADD">
              <w:rPr>
                <w:b/>
                <w:bCs/>
                <w:kern w:val="24"/>
                <w:sz w:val="20"/>
                <w:lang w:val="en-GB"/>
              </w:rPr>
              <w:t>Serious problem</w:t>
            </w:r>
          </w:p>
        </w:tc>
      </w:tr>
      <w:tr w:rsidR="00FD5ADD" w:rsidRPr="00FD5ADD" w14:paraId="3EAE5385" w14:textId="77777777" w:rsidTr="00F35B58">
        <w:trPr>
          <w:trHeight w:val="307"/>
        </w:trPr>
        <w:tc>
          <w:tcPr>
            <w:tcW w:w="4773" w:type="dxa"/>
            <w:noWrap/>
            <w:hideMark/>
          </w:tcPr>
          <w:p w14:paraId="36723BCB" w14:textId="77777777" w:rsidR="00FD5ADD" w:rsidRPr="00FD5ADD" w:rsidRDefault="00FD5ADD" w:rsidP="00FD5ADD">
            <w:pPr>
              <w:spacing w:line="276" w:lineRule="auto"/>
              <w:rPr>
                <w:kern w:val="24"/>
                <w:sz w:val="20"/>
                <w:szCs w:val="20"/>
                <w:lang w:val="en-GB"/>
              </w:rPr>
            </w:pPr>
            <w:r w:rsidRPr="00FD5ADD">
              <w:rPr>
                <w:kern w:val="24"/>
                <w:sz w:val="20"/>
                <w:lang w:val="en-GB"/>
              </w:rPr>
              <w:t xml:space="preserve">Covid-19 impact on </w:t>
            </w:r>
            <w:r w:rsidRPr="00FD5ADD">
              <w:rPr>
                <w:kern w:val="24"/>
                <w:sz w:val="20"/>
                <w:u w:val="single"/>
                <w:lang w:val="en-GB"/>
              </w:rPr>
              <w:t>day-to-day business</w:t>
            </w:r>
          </w:p>
        </w:tc>
        <w:tc>
          <w:tcPr>
            <w:tcW w:w="1286" w:type="dxa"/>
            <w:noWrap/>
            <w:hideMark/>
          </w:tcPr>
          <w:p w14:paraId="576CA200" w14:textId="77777777" w:rsidR="00FD5ADD" w:rsidRPr="00FD5ADD" w:rsidRDefault="00FD5ADD" w:rsidP="00FD5ADD">
            <w:pPr>
              <w:spacing w:line="276" w:lineRule="auto"/>
              <w:jc w:val="center"/>
              <w:rPr>
                <w:kern w:val="24"/>
                <w:sz w:val="20"/>
                <w:szCs w:val="20"/>
                <w:lang w:val="en-GB"/>
              </w:rPr>
            </w:pPr>
            <w:r w:rsidRPr="00FD5ADD">
              <w:rPr>
                <w:kern w:val="24"/>
                <w:sz w:val="20"/>
                <w:lang w:val="en-GB"/>
              </w:rPr>
              <w:t>57</w:t>
            </w:r>
          </w:p>
        </w:tc>
        <w:tc>
          <w:tcPr>
            <w:tcW w:w="970" w:type="dxa"/>
            <w:noWrap/>
            <w:hideMark/>
          </w:tcPr>
          <w:p w14:paraId="7D8FD03C" w14:textId="77777777" w:rsidR="00FD5ADD" w:rsidRPr="00FD5ADD" w:rsidRDefault="00FD5ADD" w:rsidP="00FD5ADD">
            <w:pPr>
              <w:spacing w:line="276" w:lineRule="auto"/>
              <w:jc w:val="center"/>
              <w:rPr>
                <w:kern w:val="24"/>
                <w:sz w:val="20"/>
                <w:szCs w:val="20"/>
                <w:lang w:val="en-GB"/>
              </w:rPr>
            </w:pPr>
            <w:r w:rsidRPr="00FD5ADD">
              <w:rPr>
                <w:kern w:val="24"/>
                <w:sz w:val="20"/>
                <w:lang w:val="en-GB"/>
              </w:rPr>
              <w:t>150</w:t>
            </w:r>
          </w:p>
        </w:tc>
        <w:tc>
          <w:tcPr>
            <w:tcW w:w="1194" w:type="dxa"/>
            <w:noWrap/>
            <w:hideMark/>
          </w:tcPr>
          <w:p w14:paraId="11347FC4" w14:textId="77777777" w:rsidR="00FD5ADD" w:rsidRPr="00FD5ADD" w:rsidRDefault="00FD5ADD" w:rsidP="00FD5ADD">
            <w:pPr>
              <w:spacing w:line="276" w:lineRule="auto"/>
              <w:jc w:val="center"/>
              <w:rPr>
                <w:kern w:val="24"/>
                <w:sz w:val="20"/>
                <w:szCs w:val="20"/>
                <w:lang w:val="en-GB"/>
              </w:rPr>
            </w:pPr>
            <w:r w:rsidRPr="00FD5ADD">
              <w:rPr>
                <w:kern w:val="24"/>
                <w:sz w:val="20"/>
                <w:lang w:val="en-GB"/>
              </w:rPr>
              <w:t>104</w:t>
            </w:r>
          </w:p>
        </w:tc>
        <w:tc>
          <w:tcPr>
            <w:tcW w:w="1395" w:type="dxa"/>
            <w:noWrap/>
            <w:hideMark/>
          </w:tcPr>
          <w:p w14:paraId="26164052" w14:textId="77777777" w:rsidR="00FD5ADD" w:rsidRPr="00FD5ADD" w:rsidRDefault="00FD5ADD" w:rsidP="00FD5ADD">
            <w:pPr>
              <w:spacing w:line="276" w:lineRule="auto"/>
              <w:jc w:val="center"/>
              <w:rPr>
                <w:kern w:val="24"/>
                <w:sz w:val="20"/>
                <w:szCs w:val="20"/>
                <w:lang w:val="en-GB"/>
              </w:rPr>
            </w:pPr>
            <w:r w:rsidRPr="00FD5ADD">
              <w:rPr>
                <w:kern w:val="24"/>
                <w:sz w:val="20"/>
                <w:lang w:val="en-GB"/>
              </w:rPr>
              <w:t>207</w:t>
            </w:r>
          </w:p>
        </w:tc>
      </w:tr>
      <w:tr w:rsidR="00FD5ADD" w:rsidRPr="00FD5ADD" w14:paraId="2C0531C3" w14:textId="77777777" w:rsidTr="00F35B58">
        <w:trPr>
          <w:trHeight w:val="307"/>
        </w:trPr>
        <w:tc>
          <w:tcPr>
            <w:tcW w:w="4773" w:type="dxa"/>
            <w:noWrap/>
            <w:hideMark/>
          </w:tcPr>
          <w:p w14:paraId="40C6E4F7" w14:textId="77777777" w:rsidR="00FD5ADD" w:rsidRPr="00FD5ADD" w:rsidRDefault="00FD5ADD" w:rsidP="00FD5ADD">
            <w:pPr>
              <w:spacing w:line="276" w:lineRule="auto"/>
              <w:rPr>
                <w:kern w:val="24"/>
                <w:sz w:val="20"/>
                <w:szCs w:val="20"/>
                <w:lang w:val="en-GB"/>
              </w:rPr>
            </w:pPr>
            <w:r w:rsidRPr="00FD5ADD">
              <w:rPr>
                <w:kern w:val="24"/>
                <w:sz w:val="20"/>
                <w:lang w:val="en-GB"/>
              </w:rPr>
              <w:t>day to day business - Share of total</w:t>
            </w:r>
          </w:p>
        </w:tc>
        <w:tc>
          <w:tcPr>
            <w:tcW w:w="1286" w:type="dxa"/>
            <w:noWrap/>
            <w:hideMark/>
          </w:tcPr>
          <w:p w14:paraId="294AB4CB" w14:textId="77777777" w:rsidR="00FD5ADD" w:rsidRPr="00FD5ADD" w:rsidRDefault="00FD5ADD" w:rsidP="00FD5ADD">
            <w:pPr>
              <w:spacing w:line="276" w:lineRule="auto"/>
              <w:jc w:val="center"/>
              <w:rPr>
                <w:kern w:val="24"/>
                <w:sz w:val="20"/>
                <w:szCs w:val="20"/>
                <w:lang w:val="en-GB"/>
              </w:rPr>
            </w:pPr>
            <w:r w:rsidRPr="00FD5ADD">
              <w:rPr>
                <w:kern w:val="24"/>
                <w:sz w:val="20"/>
                <w:lang w:val="en-GB"/>
              </w:rPr>
              <w:t>11%</w:t>
            </w:r>
          </w:p>
        </w:tc>
        <w:tc>
          <w:tcPr>
            <w:tcW w:w="970" w:type="dxa"/>
            <w:noWrap/>
            <w:hideMark/>
          </w:tcPr>
          <w:p w14:paraId="32069A27" w14:textId="77777777" w:rsidR="00FD5ADD" w:rsidRPr="00FD5ADD" w:rsidRDefault="00FD5ADD" w:rsidP="00FD5ADD">
            <w:pPr>
              <w:spacing w:line="276" w:lineRule="auto"/>
              <w:jc w:val="center"/>
              <w:rPr>
                <w:kern w:val="24"/>
                <w:sz w:val="20"/>
                <w:szCs w:val="20"/>
                <w:lang w:val="en-GB"/>
              </w:rPr>
            </w:pPr>
            <w:r w:rsidRPr="00FD5ADD">
              <w:rPr>
                <w:kern w:val="24"/>
                <w:sz w:val="20"/>
                <w:lang w:val="en-GB"/>
              </w:rPr>
              <w:t>28.96%</w:t>
            </w:r>
          </w:p>
        </w:tc>
        <w:tc>
          <w:tcPr>
            <w:tcW w:w="1194" w:type="dxa"/>
            <w:noWrap/>
            <w:hideMark/>
          </w:tcPr>
          <w:p w14:paraId="42548BCE" w14:textId="77777777" w:rsidR="00FD5ADD" w:rsidRPr="00FD5ADD" w:rsidRDefault="00FD5ADD" w:rsidP="00FD5ADD">
            <w:pPr>
              <w:spacing w:line="276" w:lineRule="auto"/>
              <w:jc w:val="center"/>
              <w:rPr>
                <w:kern w:val="24"/>
                <w:sz w:val="20"/>
                <w:szCs w:val="20"/>
                <w:lang w:val="en-GB"/>
              </w:rPr>
            </w:pPr>
            <w:r w:rsidRPr="00FD5ADD">
              <w:rPr>
                <w:kern w:val="24"/>
                <w:sz w:val="20"/>
                <w:lang w:val="en-GB"/>
              </w:rPr>
              <w:t>20.08%</w:t>
            </w:r>
          </w:p>
        </w:tc>
        <w:tc>
          <w:tcPr>
            <w:tcW w:w="1395" w:type="dxa"/>
            <w:noWrap/>
            <w:hideMark/>
          </w:tcPr>
          <w:p w14:paraId="40843C2C" w14:textId="77777777" w:rsidR="00FD5ADD" w:rsidRPr="00FD5ADD" w:rsidRDefault="00FD5ADD" w:rsidP="00FD5ADD">
            <w:pPr>
              <w:spacing w:line="276" w:lineRule="auto"/>
              <w:jc w:val="center"/>
              <w:rPr>
                <w:kern w:val="24"/>
                <w:sz w:val="20"/>
                <w:szCs w:val="20"/>
                <w:lang w:val="en-GB"/>
              </w:rPr>
            </w:pPr>
            <w:r w:rsidRPr="00FD5ADD">
              <w:rPr>
                <w:kern w:val="24"/>
                <w:sz w:val="20"/>
                <w:lang w:val="en-GB"/>
              </w:rPr>
              <w:t>39.96%</w:t>
            </w:r>
          </w:p>
        </w:tc>
      </w:tr>
      <w:tr w:rsidR="00FD5ADD" w:rsidRPr="00FD5ADD" w14:paraId="1523A910" w14:textId="77777777" w:rsidTr="00F35B58">
        <w:trPr>
          <w:trHeight w:val="307"/>
        </w:trPr>
        <w:tc>
          <w:tcPr>
            <w:tcW w:w="4773" w:type="dxa"/>
            <w:noWrap/>
            <w:hideMark/>
          </w:tcPr>
          <w:p w14:paraId="5E52CE25" w14:textId="77777777" w:rsidR="00FD5ADD" w:rsidRPr="00FD5ADD" w:rsidRDefault="00FD5ADD" w:rsidP="00FD5ADD">
            <w:pPr>
              <w:spacing w:line="276" w:lineRule="auto"/>
              <w:rPr>
                <w:kern w:val="24"/>
                <w:sz w:val="20"/>
                <w:szCs w:val="20"/>
                <w:lang w:val="en-GB"/>
              </w:rPr>
            </w:pPr>
            <w:r w:rsidRPr="00FD5ADD">
              <w:rPr>
                <w:kern w:val="24"/>
                <w:sz w:val="20"/>
                <w:lang w:val="en-GB"/>
              </w:rPr>
              <w:t xml:space="preserve">Covid-19 impact on </w:t>
            </w:r>
            <w:r w:rsidRPr="00FD5ADD">
              <w:rPr>
                <w:kern w:val="24"/>
                <w:sz w:val="20"/>
                <w:u w:val="single"/>
                <w:lang w:val="en-GB"/>
              </w:rPr>
              <w:t>access to extension services</w:t>
            </w:r>
          </w:p>
        </w:tc>
        <w:tc>
          <w:tcPr>
            <w:tcW w:w="1286" w:type="dxa"/>
            <w:noWrap/>
            <w:hideMark/>
          </w:tcPr>
          <w:p w14:paraId="29BB4626" w14:textId="77777777" w:rsidR="00FD5ADD" w:rsidRPr="00FD5ADD" w:rsidRDefault="00FD5ADD" w:rsidP="00FD5ADD">
            <w:pPr>
              <w:spacing w:line="276" w:lineRule="auto"/>
              <w:jc w:val="center"/>
              <w:rPr>
                <w:kern w:val="24"/>
                <w:sz w:val="20"/>
                <w:szCs w:val="20"/>
                <w:lang w:val="en-GB"/>
              </w:rPr>
            </w:pPr>
            <w:r w:rsidRPr="00FD5ADD">
              <w:rPr>
                <w:kern w:val="24"/>
                <w:sz w:val="20"/>
                <w:lang w:val="en-GB"/>
              </w:rPr>
              <w:t>141</w:t>
            </w:r>
          </w:p>
        </w:tc>
        <w:tc>
          <w:tcPr>
            <w:tcW w:w="970" w:type="dxa"/>
            <w:noWrap/>
            <w:hideMark/>
          </w:tcPr>
          <w:p w14:paraId="107ED814" w14:textId="77777777" w:rsidR="00FD5ADD" w:rsidRPr="00FD5ADD" w:rsidRDefault="00FD5ADD" w:rsidP="00FD5ADD">
            <w:pPr>
              <w:spacing w:line="276" w:lineRule="auto"/>
              <w:jc w:val="center"/>
              <w:rPr>
                <w:kern w:val="24"/>
                <w:sz w:val="20"/>
                <w:szCs w:val="20"/>
                <w:lang w:val="en-GB"/>
              </w:rPr>
            </w:pPr>
            <w:r w:rsidRPr="00FD5ADD">
              <w:rPr>
                <w:kern w:val="24"/>
                <w:sz w:val="20"/>
                <w:lang w:val="en-GB"/>
              </w:rPr>
              <w:t>166</w:t>
            </w:r>
          </w:p>
        </w:tc>
        <w:tc>
          <w:tcPr>
            <w:tcW w:w="1194" w:type="dxa"/>
            <w:noWrap/>
            <w:hideMark/>
          </w:tcPr>
          <w:p w14:paraId="6D343A8C" w14:textId="77777777" w:rsidR="00FD5ADD" w:rsidRPr="00FD5ADD" w:rsidRDefault="00FD5ADD" w:rsidP="00FD5ADD">
            <w:pPr>
              <w:spacing w:line="276" w:lineRule="auto"/>
              <w:jc w:val="center"/>
              <w:rPr>
                <w:kern w:val="24"/>
                <w:sz w:val="20"/>
                <w:szCs w:val="20"/>
                <w:lang w:val="en-GB"/>
              </w:rPr>
            </w:pPr>
            <w:r w:rsidRPr="00FD5ADD">
              <w:rPr>
                <w:kern w:val="24"/>
                <w:sz w:val="20"/>
                <w:lang w:val="en-GB"/>
              </w:rPr>
              <w:t>129</w:t>
            </w:r>
          </w:p>
        </w:tc>
        <w:tc>
          <w:tcPr>
            <w:tcW w:w="1395" w:type="dxa"/>
            <w:noWrap/>
            <w:hideMark/>
          </w:tcPr>
          <w:p w14:paraId="07B71169" w14:textId="77777777" w:rsidR="00FD5ADD" w:rsidRPr="00FD5ADD" w:rsidRDefault="00FD5ADD" w:rsidP="00FD5ADD">
            <w:pPr>
              <w:spacing w:line="276" w:lineRule="auto"/>
              <w:jc w:val="center"/>
              <w:rPr>
                <w:kern w:val="24"/>
                <w:sz w:val="20"/>
                <w:szCs w:val="20"/>
                <w:lang w:val="en-GB"/>
              </w:rPr>
            </w:pPr>
            <w:r w:rsidRPr="00FD5ADD">
              <w:rPr>
                <w:kern w:val="24"/>
                <w:sz w:val="20"/>
                <w:lang w:val="en-GB"/>
              </w:rPr>
              <w:t>82</w:t>
            </w:r>
          </w:p>
        </w:tc>
      </w:tr>
      <w:tr w:rsidR="00FD5ADD" w:rsidRPr="00FD5ADD" w14:paraId="0D9E1D6B" w14:textId="77777777" w:rsidTr="00F35B58">
        <w:trPr>
          <w:trHeight w:val="307"/>
        </w:trPr>
        <w:tc>
          <w:tcPr>
            <w:tcW w:w="4773" w:type="dxa"/>
            <w:noWrap/>
            <w:hideMark/>
          </w:tcPr>
          <w:p w14:paraId="14197BF8" w14:textId="77777777" w:rsidR="00FD5ADD" w:rsidRPr="00FD5ADD" w:rsidRDefault="00FD5ADD" w:rsidP="00FD5ADD">
            <w:pPr>
              <w:spacing w:line="276" w:lineRule="auto"/>
              <w:rPr>
                <w:kern w:val="24"/>
                <w:sz w:val="20"/>
                <w:szCs w:val="20"/>
                <w:lang w:val="en-GB"/>
              </w:rPr>
            </w:pPr>
            <w:r w:rsidRPr="00FD5ADD">
              <w:rPr>
                <w:kern w:val="24"/>
                <w:sz w:val="20"/>
                <w:lang w:val="en-GB"/>
              </w:rPr>
              <w:t>access to extension services - Share of total</w:t>
            </w:r>
          </w:p>
        </w:tc>
        <w:tc>
          <w:tcPr>
            <w:tcW w:w="1286" w:type="dxa"/>
            <w:noWrap/>
            <w:hideMark/>
          </w:tcPr>
          <w:p w14:paraId="30B59291" w14:textId="77777777" w:rsidR="00FD5ADD" w:rsidRPr="00FD5ADD" w:rsidRDefault="00FD5ADD" w:rsidP="00FD5ADD">
            <w:pPr>
              <w:spacing w:line="276" w:lineRule="auto"/>
              <w:jc w:val="center"/>
              <w:rPr>
                <w:kern w:val="24"/>
                <w:sz w:val="20"/>
                <w:szCs w:val="20"/>
                <w:lang w:val="en-GB"/>
              </w:rPr>
            </w:pPr>
            <w:r w:rsidRPr="00FD5ADD">
              <w:rPr>
                <w:kern w:val="24"/>
                <w:sz w:val="20"/>
                <w:lang w:val="en-GB"/>
              </w:rPr>
              <w:t>27.22%</w:t>
            </w:r>
          </w:p>
        </w:tc>
        <w:tc>
          <w:tcPr>
            <w:tcW w:w="970" w:type="dxa"/>
            <w:noWrap/>
            <w:hideMark/>
          </w:tcPr>
          <w:p w14:paraId="40C4845D" w14:textId="77777777" w:rsidR="00FD5ADD" w:rsidRPr="00FD5ADD" w:rsidRDefault="00FD5ADD" w:rsidP="00FD5ADD">
            <w:pPr>
              <w:spacing w:line="276" w:lineRule="auto"/>
              <w:jc w:val="center"/>
              <w:rPr>
                <w:kern w:val="24"/>
                <w:sz w:val="20"/>
                <w:szCs w:val="20"/>
                <w:lang w:val="en-GB"/>
              </w:rPr>
            </w:pPr>
            <w:r w:rsidRPr="00FD5ADD">
              <w:rPr>
                <w:kern w:val="24"/>
                <w:sz w:val="20"/>
                <w:lang w:val="en-GB"/>
              </w:rPr>
              <w:t>32.05%</w:t>
            </w:r>
          </w:p>
        </w:tc>
        <w:tc>
          <w:tcPr>
            <w:tcW w:w="1194" w:type="dxa"/>
            <w:noWrap/>
            <w:hideMark/>
          </w:tcPr>
          <w:p w14:paraId="4E16CCC2" w14:textId="77777777" w:rsidR="00FD5ADD" w:rsidRPr="00FD5ADD" w:rsidRDefault="00FD5ADD" w:rsidP="00FD5ADD">
            <w:pPr>
              <w:spacing w:line="276" w:lineRule="auto"/>
              <w:jc w:val="center"/>
              <w:rPr>
                <w:kern w:val="24"/>
                <w:sz w:val="20"/>
                <w:szCs w:val="20"/>
                <w:lang w:val="en-GB"/>
              </w:rPr>
            </w:pPr>
            <w:r w:rsidRPr="00FD5ADD">
              <w:rPr>
                <w:kern w:val="24"/>
                <w:sz w:val="20"/>
                <w:lang w:val="en-GB"/>
              </w:rPr>
              <w:t>24.9%</w:t>
            </w:r>
          </w:p>
        </w:tc>
        <w:tc>
          <w:tcPr>
            <w:tcW w:w="1395" w:type="dxa"/>
            <w:noWrap/>
            <w:hideMark/>
          </w:tcPr>
          <w:p w14:paraId="5BBA1AAC" w14:textId="77777777" w:rsidR="00FD5ADD" w:rsidRPr="00FD5ADD" w:rsidRDefault="00FD5ADD" w:rsidP="00FD5ADD">
            <w:pPr>
              <w:spacing w:line="276" w:lineRule="auto"/>
              <w:jc w:val="center"/>
              <w:rPr>
                <w:kern w:val="24"/>
                <w:sz w:val="20"/>
                <w:szCs w:val="20"/>
                <w:lang w:val="en-GB"/>
              </w:rPr>
            </w:pPr>
            <w:r w:rsidRPr="00FD5ADD">
              <w:rPr>
                <w:kern w:val="24"/>
                <w:sz w:val="20"/>
                <w:lang w:val="en-GB"/>
              </w:rPr>
              <w:t>15.83%</w:t>
            </w:r>
          </w:p>
        </w:tc>
      </w:tr>
      <w:tr w:rsidR="00FD5ADD" w:rsidRPr="00FD5ADD" w14:paraId="40473915" w14:textId="77777777" w:rsidTr="00F35B58">
        <w:trPr>
          <w:trHeight w:val="307"/>
        </w:trPr>
        <w:tc>
          <w:tcPr>
            <w:tcW w:w="4773" w:type="dxa"/>
            <w:noWrap/>
            <w:hideMark/>
          </w:tcPr>
          <w:p w14:paraId="05DB38B0" w14:textId="77777777" w:rsidR="00FD5ADD" w:rsidRPr="00FD5ADD" w:rsidRDefault="00FD5ADD" w:rsidP="00FD5ADD">
            <w:pPr>
              <w:spacing w:line="276" w:lineRule="auto"/>
              <w:rPr>
                <w:kern w:val="24"/>
                <w:sz w:val="20"/>
                <w:szCs w:val="20"/>
                <w:lang w:val="en-GB"/>
              </w:rPr>
            </w:pPr>
            <w:r w:rsidRPr="00FD5ADD">
              <w:rPr>
                <w:kern w:val="24"/>
                <w:sz w:val="20"/>
                <w:lang w:val="en-GB"/>
              </w:rPr>
              <w:t xml:space="preserve">Covid-19 impact on </w:t>
            </w:r>
            <w:r w:rsidRPr="00FD5ADD">
              <w:rPr>
                <w:kern w:val="24"/>
                <w:sz w:val="20"/>
                <w:u w:val="single"/>
                <w:lang w:val="en-GB"/>
              </w:rPr>
              <w:t>access to local admin. services</w:t>
            </w:r>
          </w:p>
        </w:tc>
        <w:tc>
          <w:tcPr>
            <w:tcW w:w="1286" w:type="dxa"/>
            <w:noWrap/>
            <w:hideMark/>
          </w:tcPr>
          <w:p w14:paraId="461A6EDC" w14:textId="77777777" w:rsidR="00FD5ADD" w:rsidRPr="00FD5ADD" w:rsidRDefault="00FD5ADD" w:rsidP="00FD5ADD">
            <w:pPr>
              <w:spacing w:line="276" w:lineRule="auto"/>
              <w:jc w:val="center"/>
              <w:rPr>
                <w:kern w:val="24"/>
                <w:sz w:val="20"/>
                <w:szCs w:val="20"/>
                <w:lang w:val="en-GB"/>
              </w:rPr>
            </w:pPr>
            <w:r w:rsidRPr="00FD5ADD">
              <w:rPr>
                <w:kern w:val="24"/>
                <w:sz w:val="20"/>
                <w:lang w:val="en-GB"/>
              </w:rPr>
              <w:t>153</w:t>
            </w:r>
          </w:p>
        </w:tc>
        <w:tc>
          <w:tcPr>
            <w:tcW w:w="970" w:type="dxa"/>
            <w:noWrap/>
            <w:hideMark/>
          </w:tcPr>
          <w:p w14:paraId="7F1BCD3A" w14:textId="77777777" w:rsidR="00FD5ADD" w:rsidRPr="00FD5ADD" w:rsidRDefault="00FD5ADD" w:rsidP="00FD5ADD">
            <w:pPr>
              <w:spacing w:line="276" w:lineRule="auto"/>
              <w:jc w:val="center"/>
              <w:rPr>
                <w:kern w:val="24"/>
                <w:sz w:val="20"/>
                <w:szCs w:val="20"/>
                <w:lang w:val="en-GB"/>
              </w:rPr>
            </w:pPr>
            <w:r w:rsidRPr="00FD5ADD">
              <w:rPr>
                <w:kern w:val="24"/>
                <w:sz w:val="20"/>
                <w:lang w:val="en-GB"/>
              </w:rPr>
              <w:t>171</w:t>
            </w:r>
          </w:p>
        </w:tc>
        <w:tc>
          <w:tcPr>
            <w:tcW w:w="1194" w:type="dxa"/>
            <w:noWrap/>
            <w:hideMark/>
          </w:tcPr>
          <w:p w14:paraId="689D2C12" w14:textId="77777777" w:rsidR="00FD5ADD" w:rsidRPr="00FD5ADD" w:rsidRDefault="00FD5ADD" w:rsidP="00FD5ADD">
            <w:pPr>
              <w:spacing w:line="276" w:lineRule="auto"/>
              <w:jc w:val="center"/>
              <w:rPr>
                <w:kern w:val="24"/>
                <w:sz w:val="20"/>
                <w:szCs w:val="20"/>
                <w:lang w:val="en-GB"/>
              </w:rPr>
            </w:pPr>
            <w:r w:rsidRPr="00FD5ADD">
              <w:rPr>
                <w:kern w:val="24"/>
                <w:sz w:val="20"/>
                <w:lang w:val="en-GB"/>
              </w:rPr>
              <w:t>128</w:t>
            </w:r>
          </w:p>
        </w:tc>
        <w:tc>
          <w:tcPr>
            <w:tcW w:w="1395" w:type="dxa"/>
            <w:noWrap/>
            <w:hideMark/>
          </w:tcPr>
          <w:p w14:paraId="70B08E12" w14:textId="77777777" w:rsidR="00FD5ADD" w:rsidRPr="00FD5ADD" w:rsidRDefault="00FD5ADD" w:rsidP="00FD5ADD">
            <w:pPr>
              <w:spacing w:line="276" w:lineRule="auto"/>
              <w:jc w:val="center"/>
              <w:rPr>
                <w:kern w:val="24"/>
                <w:sz w:val="20"/>
                <w:szCs w:val="20"/>
                <w:lang w:val="en-GB"/>
              </w:rPr>
            </w:pPr>
            <w:r w:rsidRPr="00FD5ADD">
              <w:rPr>
                <w:kern w:val="24"/>
                <w:sz w:val="20"/>
                <w:lang w:val="en-GB"/>
              </w:rPr>
              <w:t>66</w:t>
            </w:r>
          </w:p>
        </w:tc>
      </w:tr>
      <w:tr w:rsidR="00FD5ADD" w:rsidRPr="00FD5ADD" w14:paraId="25752855" w14:textId="77777777" w:rsidTr="00F35B58">
        <w:trPr>
          <w:trHeight w:val="307"/>
        </w:trPr>
        <w:tc>
          <w:tcPr>
            <w:tcW w:w="4773" w:type="dxa"/>
            <w:noWrap/>
            <w:hideMark/>
          </w:tcPr>
          <w:p w14:paraId="0765ADE1" w14:textId="77777777" w:rsidR="00FD5ADD" w:rsidRPr="00FD5ADD" w:rsidRDefault="00FD5ADD" w:rsidP="00FD5ADD">
            <w:pPr>
              <w:spacing w:line="276" w:lineRule="auto"/>
              <w:rPr>
                <w:kern w:val="24"/>
                <w:sz w:val="20"/>
                <w:szCs w:val="20"/>
                <w:lang w:val="en-GB"/>
              </w:rPr>
            </w:pPr>
            <w:r w:rsidRPr="00FD5ADD">
              <w:rPr>
                <w:kern w:val="24"/>
                <w:sz w:val="20"/>
                <w:lang w:val="en-GB"/>
              </w:rPr>
              <w:t>Access to local admin. services- Share of total</w:t>
            </w:r>
          </w:p>
        </w:tc>
        <w:tc>
          <w:tcPr>
            <w:tcW w:w="1286" w:type="dxa"/>
            <w:noWrap/>
            <w:hideMark/>
          </w:tcPr>
          <w:p w14:paraId="62CC3CA5" w14:textId="77777777" w:rsidR="00FD5ADD" w:rsidRPr="00FD5ADD" w:rsidRDefault="00FD5ADD" w:rsidP="00FD5ADD">
            <w:pPr>
              <w:spacing w:line="276" w:lineRule="auto"/>
              <w:jc w:val="center"/>
              <w:rPr>
                <w:kern w:val="24"/>
                <w:sz w:val="20"/>
                <w:szCs w:val="20"/>
                <w:lang w:val="en-GB"/>
              </w:rPr>
            </w:pPr>
            <w:r w:rsidRPr="00FD5ADD">
              <w:rPr>
                <w:kern w:val="24"/>
                <w:sz w:val="20"/>
                <w:lang w:val="en-GB"/>
              </w:rPr>
              <w:t>29.54%</w:t>
            </w:r>
          </w:p>
        </w:tc>
        <w:tc>
          <w:tcPr>
            <w:tcW w:w="970" w:type="dxa"/>
            <w:noWrap/>
            <w:hideMark/>
          </w:tcPr>
          <w:p w14:paraId="503F70B7" w14:textId="77777777" w:rsidR="00FD5ADD" w:rsidRPr="00FD5ADD" w:rsidRDefault="00FD5ADD" w:rsidP="00FD5ADD">
            <w:pPr>
              <w:spacing w:line="276" w:lineRule="auto"/>
              <w:jc w:val="center"/>
              <w:rPr>
                <w:kern w:val="24"/>
                <w:sz w:val="20"/>
                <w:szCs w:val="20"/>
                <w:lang w:val="en-GB"/>
              </w:rPr>
            </w:pPr>
            <w:r w:rsidRPr="00FD5ADD">
              <w:rPr>
                <w:kern w:val="24"/>
                <w:sz w:val="20"/>
                <w:lang w:val="en-GB"/>
              </w:rPr>
              <w:t>33.01%</w:t>
            </w:r>
          </w:p>
        </w:tc>
        <w:tc>
          <w:tcPr>
            <w:tcW w:w="1194" w:type="dxa"/>
            <w:noWrap/>
            <w:hideMark/>
          </w:tcPr>
          <w:p w14:paraId="2CD3F01A" w14:textId="77777777" w:rsidR="00FD5ADD" w:rsidRPr="00FD5ADD" w:rsidRDefault="00FD5ADD" w:rsidP="00FD5ADD">
            <w:pPr>
              <w:spacing w:line="276" w:lineRule="auto"/>
              <w:jc w:val="center"/>
              <w:rPr>
                <w:kern w:val="24"/>
                <w:sz w:val="20"/>
                <w:szCs w:val="20"/>
                <w:lang w:val="en-GB"/>
              </w:rPr>
            </w:pPr>
            <w:r w:rsidRPr="00FD5ADD">
              <w:rPr>
                <w:kern w:val="24"/>
                <w:sz w:val="20"/>
                <w:lang w:val="en-GB"/>
              </w:rPr>
              <w:t>24.71%</w:t>
            </w:r>
          </w:p>
        </w:tc>
        <w:tc>
          <w:tcPr>
            <w:tcW w:w="1395" w:type="dxa"/>
            <w:noWrap/>
            <w:hideMark/>
          </w:tcPr>
          <w:p w14:paraId="59AEE432" w14:textId="77777777" w:rsidR="00FD5ADD" w:rsidRPr="00FD5ADD" w:rsidRDefault="00FD5ADD" w:rsidP="00FD5ADD">
            <w:pPr>
              <w:spacing w:line="276" w:lineRule="auto"/>
              <w:jc w:val="center"/>
              <w:rPr>
                <w:kern w:val="24"/>
                <w:sz w:val="20"/>
                <w:szCs w:val="20"/>
                <w:lang w:val="en-GB"/>
              </w:rPr>
            </w:pPr>
            <w:r w:rsidRPr="00FD5ADD">
              <w:rPr>
                <w:kern w:val="24"/>
                <w:sz w:val="20"/>
                <w:lang w:val="en-GB"/>
              </w:rPr>
              <w:t>12.74%</w:t>
            </w:r>
          </w:p>
        </w:tc>
      </w:tr>
    </w:tbl>
    <w:p w14:paraId="1A991A60" w14:textId="77777777" w:rsidR="00FD5ADD" w:rsidRPr="00FD5ADD" w:rsidRDefault="00FD5ADD" w:rsidP="00FD5ADD">
      <w:pPr>
        <w:spacing w:after="240"/>
        <w:jc w:val="center"/>
        <w:rPr>
          <w:rFonts w:ascii="Times New Roman" w:hAnsi="Times New Roman" w:cs="Times New Roman"/>
          <w:i/>
          <w:iCs/>
          <w:sz w:val="20"/>
          <w:szCs w:val="18"/>
          <w:lang w:val="en-GB"/>
        </w:rPr>
      </w:pPr>
      <w:r w:rsidRPr="00FD5ADD">
        <w:rPr>
          <w:rFonts w:ascii="Times New Roman" w:hAnsi="Times New Roman" w:cs="Times New Roman"/>
          <w:i/>
          <w:iCs/>
          <w:sz w:val="20"/>
          <w:szCs w:val="18"/>
          <w:lang w:val="en-GB"/>
        </w:rPr>
        <w:t>Source: Structured survey</w:t>
      </w:r>
    </w:p>
    <w:p w14:paraId="7E959203" w14:textId="77777777" w:rsidR="00FD5ADD" w:rsidRPr="00FD5ADD" w:rsidRDefault="00FD5ADD" w:rsidP="00FD5ADD">
      <w:pPr>
        <w:spacing w:before="120" w:after="120" w:line="276" w:lineRule="auto"/>
        <w:jc w:val="both"/>
        <w:rPr>
          <w:rFonts w:ascii="Times New Roman" w:hAnsi="Times New Roman" w:cs="Times New Roman"/>
          <w:sz w:val="24"/>
          <w:szCs w:val="24"/>
          <w:u w:val="single"/>
          <w:lang w:val="en-GB"/>
        </w:rPr>
      </w:pPr>
      <w:r w:rsidRPr="00FD5ADD">
        <w:rPr>
          <w:rFonts w:ascii="Times New Roman" w:hAnsi="Times New Roman" w:cs="Times New Roman"/>
          <w:sz w:val="24"/>
          <w:szCs w:val="24"/>
          <w:u w:val="single"/>
          <w:lang w:val="en-GB"/>
        </w:rPr>
        <w:t xml:space="preserve">Limited </w:t>
      </w:r>
      <w:proofErr w:type="spellStart"/>
      <w:r w:rsidRPr="00FD5ADD">
        <w:rPr>
          <w:rFonts w:ascii="Times New Roman" w:hAnsi="Times New Roman" w:cs="Times New Roman"/>
          <w:sz w:val="24"/>
          <w:szCs w:val="24"/>
          <w:u w:val="single"/>
          <w:lang w:val="en-GB"/>
        </w:rPr>
        <w:t>labor</w:t>
      </w:r>
      <w:proofErr w:type="spellEnd"/>
      <w:r w:rsidRPr="00FD5ADD">
        <w:rPr>
          <w:rFonts w:ascii="Times New Roman" w:hAnsi="Times New Roman" w:cs="Times New Roman"/>
          <w:sz w:val="24"/>
          <w:szCs w:val="24"/>
          <w:u w:val="single"/>
          <w:lang w:val="en-GB"/>
        </w:rPr>
        <w:t xml:space="preserve"> mobility negatively affected agricultural operations</w:t>
      </w:r>
    </w:p>
    <w:p w14:paraId="4B0F85AF"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There were cases of people who were afraid of getting Covid-19 as well as those who got sick, and thereby could not make the right services to the plants. One input supplier who produces seedlings and who is also a consolidator/wholesaler, complained that the seedling quality produced in Spring 2020 was bad, because he could not get/transport workers to carry out the services for seedlings. Also, some farmers who had planted seedlings faced temporarily barriers to travel and in some cases the plants withered. </w:t>
      </w:r>
    </w:p>
    <w:p w14:paraId="2D886983"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u w:val="single"/>
          <w:lang w:val="en-GB"/>
        </w:rPr>
        <w:t xml:space="preserve">Pandemic related illness put a lot of stress on farmers’ budgets leading to less input use </w:t>
      </w:r>
    </w:p>
    <w:p w14:paraId="65447F62"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Affected families, which spent a lot of money to deal with Covid-19, face financial constraints to buy inputs. That implies that some did not buy enough inputs, affecting quality and yield, while others buy only by credit of input suppliers. For example, one leading exporter stated that, due to gaps in services and inputs use, the quality suffered, and that is an issue especially for export-oriented products. </w:t>
      </w:r>
    </w:p>
    <w:p w14:paraId="0FD7C6AB" w14:textId="77777777" w:rsidR="00FD5ADD" w:rsidRPr="00FD5ADD" w:rsidRDefault="00FD5ADD" w:rsidP="00FD5ADD">
      <w:pPr>
        <w:spacing w:before="120" w:after="120" w:line="276" w:lineRule="auto"/>
        <w:jc w:val="both"/>
        <w:rPr>
          <w:rFonts w:ascii="Times New Roman" w:hAnsi="Times New Roman" w:cs="Times New Roman"/>
          <w:sz w:val="24"/>
          <w:szCs w:val="24"/>
          <w:u w:val="single"/>
          <w:lang w:val="en-GB"/>
        </w:rPr>
      </w:pPr>
      <w:r w:rsidRPr="00FD5ADD">
        <w:rPr>
          <w:rFonts w:ascii="Times New Roman" w:hAnsi="Times New Roman" w:cs="Times New Roman"/>
          <w:sz w:val="24"/>
          <w:szCs w:val="24"/>
          <w:u w:val="single"/>
          <w:lang w:val="en-GB"/>
        </w:rPr>
        <w:t>During pandemics arrears were usual</w:t>
      </w:r>
    </w:p>
    <w:p w14:paraId="63ED4F75"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It is known that inputs suppliers have uncollected debt from farmers – during 2020, that increased substantially. One large input supplier stated that the debt doubled during 2020, when compared to previous years.  On the other hand, some downstream actors (exporters) complained about late payment from international buyers. </w:t>
      </w:r>
    </w:p>
    <w:p w14:paraId="220E2455"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The main source of training and advice are input suppliers. During 2020, there was a halt in trainings provided by inputs suppliers, stated two major input suppliers. Also, public institutions and donor projects have limited their activities in terms of capacity building activities due to Covid-19 restrictions. Some donors have completely banned face-to-face activities, shifting completely online. However, for most average farmers, online training is not the most suitable option. </w:t>
      </w:r>
    </w:p>
    <w:p w14:paraId="139488C7"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lastRenderedPageBreak/>
        <w:t xml:space="preserve">According to the interviewed exporters, Covid-19 impacted the transport only during the first weeks. For example, in March 2020, one large wholesaler lost 4 tracks loaded with salads, as they were blocked (due to temporary travel restrictions), which resulted into 2.4 million ALL. </w:t>
      </w:r>
    </w:p>
    <w:p w14:paraId="4450011A"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Difficulty to travel had other negative effects. Exporters often visit foreign countries to get acquainted with market developments as well as to search for new equipment. Also inputs suppliers visit producers’ plants to become familiar with new inputs. During 2020, the above category of actors stated that they could not make visits, thereby not being able to update with new equipment or inputs. </w:t>
      </w:r>
    </w:p>
    <w:p w14:paraId="4C470EDF"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One problem faced by Covid-19, was the difficulty to meet with people in public institutions. Instead, online meetings have become common. “Lack of physical contact makes it difficult”, stated a manager of an exporting company. For example, an exporter that had won IPARD II fund to build a large storage facility, was facing delays to get the reimbursement/ grant, caused by Covid19 situation/impact. </w:t>
      </w:r>
    </w:p>
    <w:bookmarkEnd w:id="9"/>
    <w:p w14:paraId="5D126557"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The findings from the structured farm survey indicate that tomato</w:t>
      </w:r>
      <w:r w:rsidRPr="00FD5ADD">
        <w:rPr>
          <w:rFonts w:ascii="Times New Roman" w:hAnsi="Times New Roman" w:cs="Times New Roman"/>
          <w:sz w:val="24"/>
          <w:szCs w:val="24"/>
          <w:vertAlign w:val="superscript"/>
          <w:lang w:val="en-GB"/>
        </w:rPr>
        <w:footnoteReference w:id="2"/>
      </w:r>
      <w:r w:rsidRPr="00FD5ADD">
        <w:rPr>
          <w:rFonts w:ascii="Times New Roman" w:hAnsi="Times New Roman" w:cs="Times New Roman"/>
          <w:sz w:val="24"/>
          <w:szCs w:val="24"/>
          <w:lang w:val="en-GB"/>
        </w:rPr>
        <w:t xml:space="preserve"> post-harvest losses in 2020 were significantly higher than in 2019 (P value 0.02 and 0.00 respectively, table 12).  The postharvest losses were particularly high during the second production season according to in-depth interviews, and the main reason was difficulty to sell (as shown below). According to one interviewed exporter (one of the leading exporters), some of its supplying farmers could sell only about ½ of their greenhouse production (because of lack of purchasing power) - the rest was lost. Also, production and losses (not harvested production -left in the field) in 2020 are higher than 2019 but the differences are not statistically significant (P value 0.56 and 0.21 respectively).</w:t>
      </w:r>
    </w:p>
    <w:p w14:paraId="25C69CC3" w14:textId="77777777" w:rsidR="00FD5ADD" w:rsidRPr="00FD5ADD" w:rsidRDefault="00FD5ADD" w:rsidP="005D0391">
      <w:pPr>
        <w:spacing w:before="120" w:after="0" w:line="276" w:lineRule="auto"/>
        <w:rPr>
          <w:rFonts w:ascii="Times New Roman" w:eastAsia="Times New Roman" w:hAnsi="Times New Roman" w:cs="Times New Roman"/>
          <w:bCs/>
          <w:sz w:val="24"/>
          <w:szCs w:val="24"/>
          <w:lang w:val="en-GB"/>
        </w:rPr>
      </w:pPr>
      <w:bookmarkStart w:id="13" w:name="_Toc67965021"/>
      <w:bookmarkStart w:id="14" w:name="_Toc71976465"/>
      <w:r w:rsidRPr="00FD5ADD">
        <w:rPr>
          <w:rFonts w:ascii="Times New Roman" w:eastAsia="Times New Roman" w:hAnsi="Times New Roman" w:cs="Times New Roman"/>
          <w:bCs/>
          <w:sz w:val="24"/>
          <w:szCs w:val="24"/>
          <w:lang w:val="en-GB"/>
        </w:rPr>
        <w:t xml:space="preserve">Table </w:t>
      </w:r>
      <w:r w:rsidRPr="00FD5ADD">
        <w:rPr>
          <w:rFonts w:ascii="Times New Roman" w:eastAsia="Times New Roman" w:hAnsi="Times New Roman" w:cs="Times New Roman"/>
          <w:bCs/>
          <w:sz w:val="24"/>
          <w:szCs w:val="24"/>
          <w:lang w:val="en-GB"/>
        </w:rPr>
        <w:fldChar w:fldCharType="begin"/>
      </w:r>
      <w:r w:rsidRPr="00FD5ADD">
        <w:rPr>
          <w:rFonts w:ascii="Times New Roman" w:eastAsia="Times New Roman" w:hAnsi="Times New Roman" w:cs="Times New Roman"/>
          <w:bCs/>
          <w:sz w:val="24"/>
          <w:szCs w:val="24"/>
          <w:lang w:val="en-GB"/>
        </w:rPr>
        <w:instrText xml:space="preserve"> SEQ Table \* ARABIC </w:instrText>
      </w:r>
      <w:r w:rsidRPr="00FD5ADD">
        <w:rPr>
          <w:rFonts w:ascii="Times New Roman" w:eastAsia="Times New Roman" w:hAnsi="Times New Roman" w:cs="Times New Roman"/>
          <w:bCs/>
          <w:sz w:val="24"/>
          <w:szCs w:val="24"/>
          <w:lang w:val="en-GB"/>
        </w:rPr>
        <w:fldChar w:fldCharType="separate"/>
      </w:r>
      <w:r w:rsidRPr="00FD5ADD">
        <w:rPr>
          <w:rFonts w:ascii="Times New Roman" w:eastAsia="Times New Roman" w:hAnsi="Times New Roman" w:cs="Times New Roman"/>
          <w:bCs/>
          <w:noProof/>
          <w:sz w:val="24"/>
          <w:szCs w:val="24"/>
          <w:lang w:val="en-GB"/>
        </w:rPr>
        <w:t>2</w:t>
      </w:r>
      <w:r w:rsidRPr="00FD5ADD">
        <w:rPr>
          <w:rFonts w:ascii="Times New Roman" w:eastAsia="Times New Roman" w:hAnsi="Times New Roman" w:cs="Times New Roman"/>
          <w:bCs/>
          <w:noProof/>
          <w:sz w:val="24"/>
          <w:szCs w:val="24"/>
          <w:lang w:val="en-GB"/>
        </w:rPr>
        <w:fldChar w:fldCharType="end"/>
      </w:r>
      <w:r w:rsidRPr="00FD5ADD">
        <w:rPr>
          <w:rFonts w:ascii="Times New Roman" w:eastAsia="Times New Roman" w:hAnsi="Times New Roman" w:cs="Times New Roman"/>
          <w:bCs/>
          <w:sz w:val="24"/>
          <w:szCs w:val="24"/>
          <w:lang w:val="en-GB"/>
        </w:rPr>
        <w:t>: Output and Losses – Tomatoes</w:t>
      </w:r>
      <w:bookmarkEnd w:id="13"/>
      <w:bookmarkEnd w:id="14"/>
    </w:p>
    <w:tbl>
      <w:tblPr>
        <w:tblStyle w:val="15"/>
        <w:tblW w:w="9381" w:type="dxa"/>
        <w:tblLook w:val="04A0" w:firstRow="1" w:lastRow="0" w:firstColumn="1" w:lastColumn="0" w:noHBand="0" w:noVBand="1"/>
      </w:tblPr>
      <w:tblGrid>
        <w:gridCol w:w="3264"/>
        <w:gridCol w:w="886"/>
        <w:gridCol w:w="907"/>
        <w:gridCol w:w="886"/>
        <w:gridCol w:w="895"/>
        <w:gridCol w:w="886"/>
        <w:gridCol w:w="1657"/>
      </w:tblGrid>
      <w:tr w:rsidR="00FD5ADD" w:rsidRPr="00FD5ADD" w14:paraId="3717F3AE" w14:textId="77777777" w:rsidTr="00F35B58">
        <w:trPr>
          <w:cnfStyle w:val="100000000000" w:firstRow="1" w:lastRow="0" w:firstColumn="0" w:lastColumn="0" w:oddVBand="0" w:evenVBand="0" w:oddHBand="0" w:evenHBand="0" w:firstRowFirstColumn="0" w:firstRowLastColumn="0" w:lastRowFirstColumn="0" w:lastRowLastColumn="0"/>
          <w:trHeight w:val="20"/>
        </w:trPr>
        <w:tc>
          <w:tcPr>
            <w:tcW w:w="3264" w:type="dxa"/>
            <w:noWrap/>
            <w:hideMark/>
          </w:tcPr>
          <w:p w14:paraId="4F78BCBB" w14:textId="77777777" w:rsidR="00FD5ADD" w:rsidRPr="00FD5ADD" w:rsidRDefault="00FD5ADD" w:rsidP="00FD5ADD">
            <w:pPr>
              <w:rPr>
                <w:b/>
                <w:bCs/>
                <w:szCs w:val="20"/>
                <w:lang w:val="en-GB"/>
              </w:rPr>
            </w:pPr>
            <w:r w:rsidRPr="00FD5ADD">
              <w:rPr>
                <w:b/>
                <w:bCs/>
                <w:szCs w:val="20"/>
                <w:lang w:val="en-GB"/>
              </w:rPr>
              <w:t>Variable</w:t>
            </w:r>
          </w:p>
        </w:tc>
        <w:tc>
          <w:tcPr>
            <w:tcW w:w="886" w:type="dxa"/>
            <w:noWrap/>
            <w:hideMark/>
          </w:tcPr>
          <w:p w14:paraId="65ED2E3E" w14:textId="77777777" w:rsidR="00FD5ADD" w:rsidRPr="00FD5ADD" w:rsidRDefault="00FD5ADD" w:rsidP="00FD5ADD">
            <w:pPr>
              <w:rPr>
                <w:b/>
                <w:bCs/>
                <w:szCs w:val="20"/>
                <w:lang w:val="en-GB"/>
              </w:rPr>
            </w:pPr>
            <w:r w:rsidRPr="00FD5ADD">
              <w:rPr>
                <w:b/>
                <w:bCs/>
                <w:szCs w:val="20"/>
                <w:lang w:val="en-GB"/>
              </w:rPr>
              <w:t>Mean</w:t>
            </w:r>
          </w:p>
        </w:tc>
        <w:tc>
          <w:tcPr>
            <w:tcW w:w="907" w:type="dxa"/>
            <w:noWrap/>
            <w:hideMark/>
          </w:tcPr>
          <w:p w14:paraId="5713F855" w14:textId="77777777" w:rsidR="00FD5ADD" w:rsidRPr="00FD5ADD" w:rsidRDefault="00FD5ADD" w:rsidP="00FD5ADD">
            <w:pPr>
              <w:rPr>
                <w:b/>
                <w:bCs/>
                <w:szCs w:val="20"/>
                <w:lang w:val="en-GB"/>
              </w:rPr>
            </w:pPr>
            <w:r w:rsidRPr="00FD5ADD">
              <w:rPr>
                <w:b/>
                <w:bCs/>
                <w:szCs w:val="20"/>
                <w:lang w:val="en-GB"/>
              </w:rPr>
              <w:t>Median</w:t>
            </w:r>
          </w:p>
        </w:tc>
        <w:tc>
          <w:tcPr>
            <w:tcW w:w="886" w:type="dxa"/>
            <w:noWrap/>
            <w:hideMark/>
          </w:tcPr>
          <w:p w14:paraId="342ABFBA" w14:textId="77777777" w:rsidR="00FD5ADD" w:rsidRPr="00FD5ADD" w:rsidRDefault="00FD5ADD" w:rsidP="00FD5ADD">
            <w:pPr>
              <w:rPr>
                <w:b/>
                <w:bCs/>
                <w:szCs w:val="20"/>
                <w:lang w:val="en-GB"/>
              </w:rPr>
            </w:pPr>
            <w:r w:rsidRPr="00FD5ADD">
              <w:rPr>
                <w:b/>
                <w:bCs/>
                <w:szCs w:val="20"/>
                <w:lang w:val="en-GB"/>
              </w:rPr>
              <w:t>st.dev.</w:t>
            </w:r>
          </w:p>
        </w:tc>
        <w:tc>
          <w:tcPr>
            <w:tcW w:w="895" w:type="dxa"/>
            <w:noWrap/>
            <w:hideMark/>
          </w:tcPr>
          <w:p w14:paraId="670A1D28" w14:textId="77777777" w:rsidR="00FD5ADD" w:rsidRPr="00FD5ADD" w:rsidRDefault="00FD5ADD" w:rsidP="00FD5ADD">
            <w:pPr>
              <w:rPr>
                <w:b/>
                <w:bCs/>
                <w:szCs w:val="20"/>
                <w:lang w:val="en-GB"/>
              </w:rPr>
            </w:pPr>
            <w:r w:rsidRPr="00FD5ADD">
              <w:rPr>
                <w:b/>
                <w:bCs/>
                <w:szCs w:val="20"/>
                <w:lang w:val="en-GB"/>
              </w:rPr>
              <w:t>1st_Qu.</w:t>
            </w:r>
          </w:p>
        </w:tc>
        <w:tc>
          <w:tcPr>
            <w:tcW w:w="886" w:type="dxa"/>
            <w:noWrap/>
            <w:hideMark/>
          </w:tcPr>
          <w:p w14:paraId="0A0D7887" w14:textId="77777777" w:rsidR="00FD5ADD" w:rsidRPr="00FD5ADD" w:rsidRDefault="00FD5ADD" w:rsidP="00FD5ADD">
            <w:pPr>
              <w:rPr>
                <w:b/>
                <w:bCs/>
                <w:szCs w:val="20"/>
                <w:lang w:val="en-GB"/>
              </w:rPr>
            </w:pPr>
            <w:r w:rsidRPr="00FD5ADD">
              <w:rPr>
                <w:b/>
                <w:bCs/>
                <w:szCs w:val="20"/>
                <w:lang w:val="en-GB"/>
              </w:rPr>
              <w:t>3rd_Qu</w:t>
            </w:r>
          </w:p>
        </w:tc>
        <w:tc>
          <w:tcPr>
            <w:tcW w:w="1657" w:type="dxa"/>
            <w:vAlign w:val="center"/>
          </w:tcPr>
          <w:p w14:paraId="41D58339" w14:textId="77777777" w:rsidR="00FD5ADD" w:rsidRPr="00FD5ADD" w:rsidRDefault="00FD5ADD" w:rsidP="00FD5ADD">
            <w:pPr>
              <w:jc w:val="center"/>
              <w:rPr>
                <w:b/>
                <w:bCs/>
                <w:szCs w:val="20"/>
                <w:lang w:val="en-GB"/>
              </w:rPr>
            </w:pPr>
            <w:r w:rsidRPr="00FD5ADD">
              <w:rPr>
                <w:b/>
                <w:bCs/>
                <w:szCs w:val="20"/>
                <w:lang w:val="en-GB"/>
              </w:rPr>
              <w:t>P value*</w:t>
            </w:r>
          </w:p>
        </w:tc>
      </w:tr>
      <w:tr w:rsidR="00FD5ADD" w:rsidRPr="00FD5ADD" w14:paraId="4090AE12" w14:textId="77777777" w:rsidTr="00F35B58">
        <w:trPr>
          <w:trHeight w:val="20"/>
        </w:trPr>
        <w:tc>
          <w:tcPr>
            <w:tcW w:w="3264" w:type="dxa"/>
            <w:noWrap/>
            <w:hideMark/>
          </w:tcPr>
          <w:p w14:paraId="2CEC291D" w14:textId="77777777" w:rsidR="00FD5ADD" w:rsidRPr="00FD5ADD" w:rsidRDefault="00FD5ADD" w:rsidP="00FD5ADD">
            <w:pPr>
              <w:rPr>
                <w:szCs w:val="20"/>
                <w:lang w:val="en-GB"/>
              </w:rPr>
            </w:pPr>
            <w:r w:rsidRPr="00FD5ADD">
              <w:rPr>
                <w:szCs w:val="20"/>
                <w:lang w:val="en-GB"/>
              </w:rPr>
              <w:t>Quantity Produced 2019 (Kv)</w:t>
            </w:r>
          </w:p>
        </w:tc>
        <w:tc>
          <w:tcPr>
            <w:tcW w:w="886" w:type="dxa"/>
            <w:noWrap/>
            <w:hideMark/>
          </w:tcPr>
          <w:p w14:paraId="7AF1FB46" w14:textId="77777777" w:rsidR="00FD5ADD" w:rsidRPr="00FD5ADD" w:rsidRDefault="00FD5ADD" w:rsidP="00FD5ADD">
            <w:pPr>
              <w:jc w:val="center"/>
              <w:rPr>
                <w:szCs w:val="20"/>
                <w:lang w:val="en-GB"/>
              </w:rPr>
            </w:pPr>
            <w:r w:rsidRPr="00FD5ADD">
              <w:rPr>
                <w:szCs w:val="20"/>
                <w:lang w:val="en-GB"/>
              </w:rPr>
              <w:t>379.25</w:t>
            </w:r>
          </w:p>
        </w:tc>
        <w:tc>
          <w:tcPr>
            <w:tcW w:w="907" w:type="dxa"/>
            <w:noWrap/>
            <w:hideMark/>
          </w:tcPr>
          <w:p w14:paraId="3041A00C" w14:textId="77777777" w:rsidR="00FD5ADD" w:rsidRPr="00FD5ADD" w:rsidRDefault="00FD5ADD" w:rsidP="00FD5ADD">
            <w:pPr>
              <w:jc w:val="center"/>
              <w:rPr>
                <w:szCs w:val="20"/>
                <w:lang w:val="en-GB"/>
              </w:rPr>
            </w:pPr>
            <w:r w:rsidRPr="00FD5ADD">
              <w:rPr>
                <w:szCs w:val="20"/>
                <w:lang w:val="en-GB"/>
              </w:rPr>
              <w:t>300</w:t>
            </w:r>
          </w:p>
        </w:tc>
        <w:tc>
          <w:tcPr>
            <w:tcW w:w="886" w:type="dxa"/>
            <w:noWrap/>
            <w:hideMark/>
          </w:tcPr>
          <w:p w14:paraId="60A5AA53" w14:textId="77777777" w:rsidR="00FD5ADD" w:rsidRPr="00FD5ADD" w:rsidRDefault="00FD5ADD" w:rsidP="00FD5ADD">
            <w:pPr>
              <w:jc w:val="center"/>
              <w:rPr>
                <w:szCs w:val="20"/>
                <w:lang w:val="en-GB"/>
              </w:rPr>
            </w:pPr>
            <w:r w:rsidRPr="00FD5ADD">
              <w:rPr>
                <w:szCs w:val="20"/>
                <w:lang w:val="en-GB"/>
              </w:rPr>
              <w:t>269.94</w:t>
            </w:r>
          </w:p>
        </w:tc>
        <w:tc>
          <w:tcPr>
            <w:tcW w:w="895" w:type="dxa"/>
            <w:noWrap/>
            <w:hideMark/>
          </w:tcPr>
          <w:p w14:paraId="4E84144F" w14:textId="77777777" w:rsidR="00FD5ADD" w:rsidRPr="00FD5ADD" w:rsidRDefault="00FD5ADD" w:rsidP="00FD5ADD">
            <w:pPr>
              <w:jc w:val="center"/>
              <w:rPr>
                <w:szCs w:val="20"/>
                <w:lang w:val="en-GB"/>
              </w:rPr>
            </w:pPr>
            <w:r w:rsidRPr="00FD5ADD">
              <w:rPr>
                <w:szCs w:val="20"/>
                <w:lang w:val="en-GB"/>
              </w:rPr>
              <w:t>200</w:t>
            </w:r>
          </w:p>
        </w:tc>
        <w:tc>
          <w:tcPr>
            <w:tcW w:w="886" w:type="dxa"/>
            <w:noWrap/>
            <w:hideMark/>
          </w:tcPr>
          <w:p w14:paraId="3C0BF297" w14:textId="77777777" w:rsidR="00FD5ADD" w:rsidRPr="00FD5ADD" w:rsidRDefault="00FD5ADD" w:rsidP="00FD5ADD">
            <w:pPr>
              <w:jc w:val="center"/>
              <w:rPr>
                <w:szCs w:val="20"/>
                <w:lang w:val="en-GB"/>
              </w:rPr>
            </w:pPr>
            <w:r w:rsidRPr="00FD5ADD">
              <w:rPr>
                <w:szCs w:val="20"/>
                <w:lang w:val="en-GB"/>
              </w:rPr>
              <w:t>500</w:t>
            </w:r>
          </w:p>
        </w:tc>
        <w:tc>
          <w:tcPr>
            <w:tcW w:w="1657" w:type="dxa"/>
            <w:vMerge w:val="restart"/>
          </w:tcPr>
          <w:p w14:paraId="3166672B" w14:textId="77777777" w:rsidR="00FD5ADD" w:rsidRPr="00FD5ADD" w:rsidRDefault="00FD5ADD" w:rsidP="00FD5ADD">
            <w:pPr>
              <w:jc w:val="center"/>
              <w:rPr>
                <w:szCs w:val="20"/>
                <w:lang w:val="en-GB"/>
              </w:rPr>
            </w:pPr>
            <w:r w:rsidRPr="00FD5ADD">
              <w:rPr>
                <w:szCs w:val="20"/>
                <w:lang w:val="en-GB"/>
              </w:rPr>
              <w:t>0.56</w:t>
            </w:r>
          </w:p>
        </w:tc>
      </w:tr>
      <w:tr w:rsidR="00FD5ADD" w:rsidRPr="00FD5ADD" w14:paraId="33628B48" w14:textId="77777777" w:rsidTr="00F35B58">
        <w:trPr>
          <w:trHeight w:val="20"/>
        </w:trPr>
        <w:tc>
          <w:tcPr>
            <w:tcW w:w="3264" w:type="dxa"/>
            <w:noWrap/>
            <w:hideMark/>
          </w:tcPr>
          <w:p w14:paraId="0972AD07" w14:textId="77777777" w:rsidR="00FD5ADD" w:rsidRPr="00FD5ADD" w:rsidRDefault="00FD5ADD" w:rsidP="00FD5ADD">
            <w:pPr>
              <w:rPr>
                <w:szCs w:val="20"/>
                <w:lang w:val="en-GB"/>
              </w:rPr>
            </w:pPr>
            <w:r w:rsidRPr="00FD5ADD">
              <w:rPr>
                <w:szCs w:val="20"/>
                <w:lang w:val="en-GB"/>
              </w:rPr>
              <w:t>Quantity Produced 2020 (Kv)</w:t>
            </w:r>
          </w:p>
        </w:tc>
        <w:tc>
          <w:tcPr>
            <w:tcW w:w="886" w:type="dxa"/>
            <w:noWrap/>
            <w:hideMark/>
          </w:tcPr>
          <w:p w14:paraId="0F6499C5" w14:textId="77777777" w:rsidR="00FD5ADD" w:rsidRPr="00FD5ADD" w:rsidRDefault="00FD5ADD" w:rsidP="00FD5ADD">
            <w:pPr>
              <w:jc w:val="center"/>
              <w:rPr>
                <w:szCs w:val="20"/>
                <w:lang w:val="en-GB"/>
              </w:rPr>
            </w:pPr>
            <w:r w:rsidRPr="00FD5ADD">
              <w:rPr>
                <w:szCs w:val="20"/>
                <w:lang w:val="en-GB"/>
              </w:rPr>
              <w:t>382.68</w:t>
            </w:r>
          </w:p>
        </w:tc>
        <w:tc>
          <w:tcPr>
            <w:tcW w:w="907" w:type="dxa"/>
            <w:noWrap/>
            <w:hideMark/>
          </w:tcPr>
          <w:p w14:paraId="216BE532" w14:textId="77777777" w:rsidR="00FD5ADD" w:rsidRPr="00FD5ADD" w:rsidRDefault="00FD5ADD" w:rsidP="00FD5ADD">
            <w:pPr>
              <w:jc w:val="center"/>
              <w:rPr>
                <w:szCs w:val="20"/>
                <w:lang w:val="en-GB"/>
              </w:rPr>
            </w:pPr>
            <w:r w:rsidRPr="00FD5ADD">
              <w:rPr>
                <w:szCs w:val="20"/>
                <w:lang w:val="en-GB"/>
              </w:rPr>
              <w:t>300</w:t>
            </w:r>
          </w:p>
        </w:tc>
        <w:tc>
          <w:tcPr>
            <w:tcW w:w="886" w:type="dxa"/>
            <w:noWrap/>
            <w:hideMark/>
          </w:tcPr>
          <w:p w14:paraId="434485B5" w14:textId="77777777" w:rsidR="00FD5ADD" w:rsidRPr="00FD5ADD" w:rsidRDefault="00FD5ADD" w:rsidP="00FD5ADD">
            <w:pPr>
              <w:jc w:val="center"/>
              <w:rPr>
                <w:szCs w:val="20"/>
                <w:lang w:val="en-GB"/>
              </w:rPr>
            </w:pPr>
            <w:r w:rsidRPr="00FD5ADD">
              <w:rPr>
                <w:szCs w:val="20"/>
                <w:lang w:val="en-GB"/>
              </w:rPr>
              <w:t>280.03</w:t>
            </w:r>
          </w:p>
        </w:tc>
        <w:tc>
          <w:tcPr>
            <w:tcW w:w="895" w:type="dxa"/>
            <w:noWrap/>
            <w:hideMark/>
          </w:tcPr>
          <w:p w14:paraId="36CA42BA" w14:textId="77777777" w:rsidR="00FD5ADD" w:rsidRPr="00FD5ADD" w:rsidRDefault="00FD5ADD" w:rsidP="00FD5ADD">
            <w:pPr>
              <w:jc w:val="center"/>
              <w:rPr>
                <w:szCs w:val="20"/>
                <w:lang w:val="en-GB"/>
              </w:rPr>
            </w:pPr>
            <w:r w:rsidRPr="00FD5ADD">
              <w:rPr>
                <w:szCs w:val="20"/>
                <w:lang w:val="en-GB"/>
              </w:rPr>
              <w:t>200</w:t>
            </w:r>
          </w:p>
        </w:tc>
        <w:tc>
          <w:tcPr>
            <w:tcW w:w="886" w:type="dxa"/>
            <w:noWrap/>
            <w:hideMark/>
          </w:tcPr>
          <w:p w14:paraId="086EA879" w14:textId="77777777" w:rsidR="00FD5ADD" w:rsidRPr="00FD5ADD" w:rsidRDefault="00FD5ADD" w:rsidP="00FD5ADD">
            <w:pPr>
              <w:jc w:val="center"/>
              <w:rPr>
                <w:szCs w:val="20"/>
                <w:lang w:val="en-GB"/>
              </w:rPr>
            </w:pPr>
            <w:r w:rsidRPr="00FD5ADD">
              <w:rPr>
                <w:szCs w:val="20"/>
                <w:lang w:val="en-GB"/>
              </w:rPr>
              <w:t>500</w:t>
            </w:r>
          </w:p>
        </w:tc>
        <w:tc>
          <w:tcPr>
            <w:tcW w:w="1657" w:type="dxa"/>
            <w:vMerge/>
          </w:tcPr>
          <w:p w14:paraId="1841E7B3" w14:textId="77777777" w:rsidR="00FD5ADD" w:rsidRPr="00FD5ADD" w:rsidRDefault="00FD5ADD" w:rsidP="00FD5ADD">
            <w:pPr>
              <w:jc w:val="center"/>
              <w:rPr>
                <w:szCs w:val="20"/>
                <w:lang w:val="en-GB"/>
              </w:rPr>
            </w:pPr>
          </w:p>
        </w:tc>
      </w:tr>
      <w:tr w:rsidR="00FD5ADD" w:rsidRPr="00FD5ADD" w14:paraId="2069A8E1" w14:textId="77777777" w:rsidTr="00F35B58">
        <w:trPr>
          <w:trHeight w:val="20"/>
        </w:trPr>
        <w:tc>
          <w:tcPr>
            <w:tcW w:w="3264" w:type="dxa"/>
            <w:noWrap/>
            <w:hideMark/>
          </w:tcPr>
          <w:p w14:paraId="6686070C" w14:textId="77777777" w:rsidR="00FD5ADD" w:rsidRPr="00FD5ADD" w:rsidRDefault="00FD5ADD" w:rsidP="00FD5ADD">
            <w:pPr>
              <w:rPr>
                <w:szCs w:val="20"/>
                <w:lang w:val="en-GB"/>
              </w:rPr>
            </w:pPr>
            <w:r w:rsidRPr="00FD5ADD">
              <w:rPr>
                <w:szCs w:val="20"/>
                <w:lang w:val="en-GB"/>
              </w:rPr>
              <w:t>Quantity Sold 2019 (Kv)</w:t>
            </w:r>
          </w:p>
        </w:tc>
        <w:tc>
          <w:tcPr>
            <w:tcW w:w="886" w:type="dxa"/>
            <w:noWrap/>
            <w:hideMark/>
          </w:tcPr>
          <w:p w14:paraId="3EC9328C" w14:textId="77777777" w:rsidR="00FD5ADD" w:rsidRPr="00FD5ADD" w:rsidRDefault="00FD5ADD" w:rsidP="00FD5ADD">
            <w:pPr>
              <w:jc w:val="center"/>
              <w:rPr>
                <w:szCs w:val="20"/>
                <w:lang w:val="en-GB"/>
              </w:rPr>
            </w:pPr>
            <w:r w:rsidRPr="00FD5ADD">
              <w:rPr>
                <w:szCs w:val="20"/>
                <w:lang w:val="en-GB"/>
              </w:rPr>
              <w:t>317.00</w:t>
            </w:r>
          </w:p>
        </w:tc>
        <w:tc>
          <w:tcPr>
            <w:tcW w:w="907" w:type="dxa"/>
            <w:noWrap/>
            <w:hideMark/>
          </w:tcPr>
          <w:p w14:paraId="47A500DF" w14:textId="77777777" w:rsidR="00FD5ADD" w:rsidRPr="00FD5ADD" w:rsidRDefault="00FD5ADD" w:rsidP="00FD5ADD">
            <w:pPr>
              <w:jc w:val="center"/>
              <w:rPr>
                <w:szCs w:val="20"/>
                <w:lang w:val="en-GB"/>
              </w:rPr>
            </w:pPr>
            <w:r w:rsidRPr="00FD5ADD">
              <w:rPr>
                <w:szCs w:val="20"/>
                <w:lang w:val="en-GB"/>
              </w:rPr>
              <w:t>265</w:t>
            </w:r>
          </w:p>
        </w:tc>
        <w:tc>
          <w:tcPr>
            <w:tcW w:w="886" w:type="dxa"/>
            <w:noWrap/>
            <w:hideMark/>
          </w:tcPr>
          <w:p w14:paraId="201F46F3" w14:textId="77777777" w:rsidR="00FD5ADD" w:rsidRPr="00FD5ADD" w:rsidRDefault="00FD5ADD" w:rsidP="00FD5ADD">
            <w:pPr>
              <w:jc w:val="center"/>
              <w:rPr>
                <w:szCs w:val="20"/>
                <w:lang w:val="en-GB"/>
              </w:rPr>
            </w:pPr>
            <w:r w:rsidRPr="00FD5ADD">
              <w:rPr>
                <w:szCs w:val="20"/>
                <w:lang w:val="en-GB"/>
              </w:rPr>
              <w:t>234.64</w:t>
            </w:r>
          </w:p>
        </w:tc>
        <w:tc>
          <w:tcPr>
            <w:tcW w:w="895" w:type="dxa"/>
            <w:noWrap/>
            <w:hideMark/>
          </w:tcPr>
          <w:p w14:paraId="6AF1AD3E" w14:textId="77777777" w:rsidR="00FD5ADD" w:rsidRPr="00FD5ADD" w:rsidRDefault="00FD5ADD" w:rsidP="00FD5ADD">
            <w:pPr>
              <w:jc w:val="center"/>
              <w:rPr>
                <w:szCs w:val="20"/>
                <w:lang w:val="en-GB"/>
              </w:rPr>
            </w:pPr>
            <w:r w:rsidRPr="00FD5ADD">
              <w:rPr>
                <w:szCs w:val="20"/>
                <w:lang w:val="en-GB"/>
              </w:rPr>
              <w:t>150</w:t>
            </w:r>
          </w:p>
        </w:tc>
        <w:tc>
          <w:tcPr>
            <w:tcW w:w="886" w:type="dxa"/>
            <w:noWrap/>
            <w:hideMark/>
          </w:tcPr>
          <w:p w14:paraId="549022FA" w14:textId="77777777" w:rsidR="00FD5ADD" w:rsidRPr="00FD5ADD" w:rsidRDefault="00FD5ADD" w:rsidP="00FD5ADD">
            <w:pPr>
              <w:jc w:val="center"/>
              <w:rPr>
                <w:szCs w:val="20"/>
                <w:lang w:val="en-GB"/>
              </w:rPr>
            </w:pPr>
            <w:r w:rsidRPr="00FD5ADD">
              <w:rPr>
                <w:szCs w:val="20"/>
                <w:lang w:val="en-GB"/>
              </w:rPr>
              <w:t>402.5</w:t>
            </w:r>
          </w:p>
        </w:tc>
        <w:tc>
          <w:tcPr>
            <w:tcW w:w="1657" w:type="dxa"/>
            <w:vMerge w:val="restart"/>
          </w:tcPr>
          <w:p w14:paraId="389AA99C" w14:textId="77777777" w:rsidR="00FD5ADD" w:rsidRPr="00FD5ADD" w:rsidRDefault="00FD5ADD" w:rsidP="00FD5ADD">
            <w:pPr>
              <w:jc w:val="center"/>
              <w:rPr>
                <w:szCs w:val="20"/>
                <w:lang w:val="en-GB"/>
              </w:rPr>
            </w:pPr>
            <w:r w:rsidRPr="00FD5ADD">
              <w:rPr>
                <w:szCs w:val="20"/>
                <w:lang w:val="en-GB"/>
              </w:rPr>
              <w:t>0.02</w:t>
            </w:r>
          </w:p>
        </w:tc>
      </w:tr>
      <w:tr w:rsidR="00FD5ADD" w:rsidRPr="00FD5ADD" w14:paraId="25FB9248" w14:textId="77777777" w:rsidTr="00F35B58">
        <w:trPr>
          <w:trHeight w:val="20"/>
        </w:trPr>
        <w:tc>
          <w:tcPr>
            <w:tcW w:w="3264" w:type="dxa"/>
            <w:noWrap/>
            <w:hideMark/>
          </w:tcPr>
          <w:p w14:paraId="10808619" w14:textId="77777777" w:rsidR="00FD5ADD" w:rsidRPr="00FD5ADD" w:rsidRDefault="00FD5ADD" w:rsidP="00FD5ADD">
            <w:pPr>
              <w:rPr>
                <w:szCs w:val="20"/>
                <w:lang w:val="en-GB"/>
              </w:rPr>
            </w:pPr>
            <w:r w:rsidRPr="00FD5ADD">
              <w:rPr>
                <w:szCs w:val="20"/>
                <w:lang w:val="en-GB"/>
              </w:rPr>
              <w:t>Quantity Sold 2020 (Kv)</w:t>
            </w:r>
          </w:p>
        </w:tc>
        <w:tc>
          <w:tcPr>
            <w:tcW w:w="886" w:type="dxa"/>
            <w:noWrap/>
            <w:hideMark/>
          </w:tcPr>
          <w:p w14:paraId="2DA53610" w14:textId="77777777" w:rsidR="00FD5ADD" w:rsidRPr="00FD5ADD" w:rsidRDefault="00FD5ADD" w:rsidP="00FD5ADD">
            <w:pPr>
              <w:jc w:val="center"/>
              <w:rPr>
                <w:szCs w:val="20"/>
                <w:lang w:val="en-GB"/>
              </w:rPr>
            </w:pPr>
            <w:r w:rsidRPr="00FD5ADD">
              <w:rPr>
                <w:szCs w:val="20"/>
                <w:lang w:val="en-GB"/>
              </w:rPr>
              <w:t>289.20</w:t>
            </w:r>
          </w:p>
        </w:tc>
        <w:tc>
          <w:tcPr>
            <w:tcW w:w="907" w:type="dxa"/>
            <w:noWrap/>
            <w:hideMark/>
          </w:tcPr>
          <w:p w14:paraId="3617DA81" w14:textId="77777777" w:rsidR="00FD5ADD" w:rsidRPr="00FD5ADD" w:rsidRDefault="00FD5ADD" w:rsidP="00FD5ADD">
            <w:pPr>
              <w:jc w:val="center"/>
              <w:rPr>
                <w:szCs w:val="20"/>
                <w:lang w:val="en-GB"/>
              </w:rPr>
            </w:pPr>
            <w:r w:rsidRPr="00FD5ADD">
              <w:rPr>
                <w:szCs w:val="20"/>
                <w:lang w:val="en-GB"/>
              </w:rPr>
              <w:t>200</w:t>
            </w:r>
          </w:p>
        </w:tc>
        <w:tc>
          <w:tcPr>
            <w:tcW w:w="886" w:type="dxa"/>
            <w:noWrap/>
            <w:hideMark/>
          </w:tcPr>
          <w:p w14:paraId="4C2666C5" w14:textId="77777777" w:rsidR="00FD5ADD" w:rsidRPr="00FD5ADD" w:rsidRDefault="00FD5ADD" w:rsidP="00FD5ADD">
            <w:pPr>
              <w:jc w:val="center"/>
              <w:rPr>
                <w:szCs w:val="20"/>
                <w:lang w:val="en-GB"/>
              </w:rPr>
            </w:pPr>
            <w:r w:rsidRPr="00FD5ADD">
              <w:rPr>
                <w:szCs w:val="20"/>
                <w:lang w:val="en-GB"/>
              </w:rPr>
              <w:t>253.40</w:t>
            </w:r>
          </w:p>
        </w:tc>
        <w:tc>
          <w:tcPr>
            <w:tcW w:w="895" w:type="dxa"/>
            <w:noWrap/>
            <w:hideMark/>
          </w:tcPr>
          <w:p w14:paraId="78418095" w14:textId="77777777" w:rsidR="00FD5ADD" w:rsidRPr="00FD5ADD" w:rsidRDefault="00FD5ADD" w:rsidP="00FD5ADD">
            <w:pPr>
              <w:jc w:val="center"/>
              <w:rPr>
                <w:szCs w:val="20"/>
                <w:lang w:val="en-GB"/>
              </w:rPr>
            </w:pPr>
            <w:r w:rsidRPr="00FD5ADD">
              <w:rPr>
                <w:szCs w:val="20"/>
                <w:lang w:val="en-GB"/>
              </w:rPr>
              <w:t>120</w:t>
            </w:r>
          </w:p>
        </w:tc>
        <w:tc>
          <w:tcPr>
            <w:tcW w:w="886" w:type="dxa"/>
            <w:noWrap/>
            <w:hideMark/>
          </w:tcPr>
          <w:p w14:paraId="03EEDF5A" w14:textId="77777777" w:rsidR="00FD5ADD" w:rsidRPr="00FD5ADD" w:rsidRDefault="00FD5ADD" w:rsidP="00FD5ADD">
            <w:pPr>
              <w:jc w:val="center"/>
              <w:rPr>
                <w:szCs w:val="20"/>
                <w:lang w:val="en-GB"/>
              </w:rPr>
            </w:pPr>
            <w:r w:rsidRPr="00FD5ADD">
              <w:rPr>
                <w:szCs w:val="20"/>
                <w:lang w:val="en-GB"/>
              </w:rPr>
              <w:t>380</w:t>
            </w:r>
          </w:p>
        </w:tc>
        <w:tc>
          <w:tcPr>
            <w:tcW w:w="1657" w:type="dxa"/>
            <w:vMerge/>
          </w:tcPr>
          <w:p w14:paraId="7DFB1FB0" w14:textId="77777777" w:rsidR="00FD5ADD" w:rsidRPr="00FD5ADD" w:rsidRDefault="00FD5ADD" w:rsidP="00FD5ADD">
            <w:pPr>
              <w:jc w:val="center"/>
              <w:rPr>
                <w:szCs w:val="20"/>
                <w:lang w:val="en-GB"/>
              </w:rPr>
            </w:pPr>
          </w:p>
        </w:tc>
      </w:tr>
      <w:tr w:rsidR="00FD5ADD" w:rsidRPr="00FD5ADD" w14:paraId="6990F6C4" w14:textId="77777777" w:rsidTr="00F35B58">
        <w:trPr>
          <w:trHeight w:val="20"/>
        </w:trPr>
        <w:tc>
          <w:tcPr>
            <w:tcW w:w="3264" w:type="dxa"/>
            <w:noWrap/>
            <w:hideMark/>
          </w:tcPr>
          <w:p w14:paraId="3F27AB00" w14:textId="77777777" w:rsidR="00FD5ADD" w:rsidRPr="00FD5ADD" w:rsidRDefault="00FD5ADD" w:rsidP="00FD5ADD">
            <w:pPr>
              <w:rPr>
                <w:szCs w:val="20"/>
                <w:lang w:val="en-GB"/>
              </w:rPr>
            </w:pPr>
            <w:r w:rsidRPr="00FD5ADD">
              <w:rPr>
                <w:szCs w:val="20"/>
                <w:lang w:val="en-GB"/>
              </w:rPr>
              <w:t>Losses (not harvested) 2019 (%)</w:t>
            </w:r>
          </w:p>
        </w:tc>
        <w:tc>
          <w:tcPr>
            <w:tcW w:w="886" w:type="dxa"/>
            <w:noWrap/>
            <w:hideMark/>
          </w:tcPr>
          <w:p w14:paraId="6FD7E67B" w14:textId="77777777" w:rsidR="00FD5ADD" w:rsidRPr="00FD5ADD" w:rsidRDefault="00FD5ADD" w:rsidP="00FD5ADD">
            <w:pPr>
              <w:jc w:val="center"/>
              <w:rPr>
                <w:szCs w:val="20"/>
                <w:lang w:val="en-GB"/>
              </w:rPr>
            </w:pPr>
            <w:r w:rsidRPr="00FD5ADD">
              <w:rPr>
                <w:szCs w:val="20"/>
                <w:lang w:val="en-GB"/>
              </w:rPr>
              <w:t>5.33</w:t>
            </w:r>
          </w:p>
        </w:tc>
        <w:tc>
          <w:tcPr>
            <w:tcW w:w="907" w:type="dxa"/>
            <w:noWrap/>
            <w:hideMark/>
          </w:tcPr>
          <w:p w14:paraId="48B1E176" w14:textId="77777777" w:rsidR="00FD5ADD" w:rsidRPr="00FD5ADD" w:rsidRDefault="00FD5ADD" w:rsidP="00FD5ADD">
            <w:pPr>
              <w:jc w:val="center"/>
              <w:rPr>
                <w:szCs w:val="20"/>
                <w:lang w:val="en-GB"/>
              </w:rPr>
            </w:pPr>
            <w:r w:rsidRPr="00FD5ADD">
              <w:rPr>
                <w:szCs w:val="20"/>
                <w:lang w:val="en-GB"/>
              </w:rPr>
              <w:t>5</w:t>
            </w:r>
          </w:p>
        </w:tc>
        <w:tc>
          <w:tcPr>
            <w:tcW w:w="886" w:type="dxa"/>
            <w:noWrap/>
            <w:hideMark/>
          </w:tcPr>
          <w:p w14:paraId="6B23518B" w14:textId="77777777" w:rsidR="00FD5ADD" w:rsidRPr="00FD5ADD" w:rsidRDefault="00FD5ADD" w:rsidP="00FD5ADD">
            <w:pPr>
              <w:jc w:val="center"/>
              <w:rPr>
                <w:szCs w:val="20"/>
                <w:lang w:val="en-GB"/>
              </w:rPr>
            </w:pPr>
            <w:r w:rsidRPr="00FD5ADD">
              <w:rPr>
                <w:szCs w:val="20"/>
                <w:lang w:val="en-GB"/>
              </w:rPr>
              <w:t>5.81</w:t>
            </w:r>
          </w:p>
        </w:tc>
        <w:tc>
          <w:tcPr>
            <w:tcW w:w="895" w:type="dxa"/>
            <w:noWrap/>
            <w:hideMark/>
          </w:tcPr>
          <w:p w14:paraId="44FC2DFE" w14:textId="77777777" w:rsidR="00FD5ADD" w:rsidRPr="00FD5ADD" w:rsidRDefault="00FD5ADD" w:rsidP="00FD5ADD">
            <w:pPr>
              <w:jc w:val="center"/>
              <w:rPr>
                <w:szCs w:val="20"/>
                <w:lang w:val="en-GB"/>
              </w:rPr>
            </w:pPr>
            <w:r w:rsidRPr="00FD5ADD">
              <w:rPr>
                <w:szCs w:val="20"/>
                <w:lang w:val="en-GB"/>
              </w:rPr>
              <w:t>0</w:t>
            </w:r>
          </w:p>
        </w:tc>
        <w:tc>
          <w:tcPr>
            <w:tcW w:w="886" w:type="dxa"/>
            <w:noWrap/>
            <w:hideMark/>
          </w:tcPr>
          <w:p w14:paraId="197D43B7" w14:textId="77777777" w:rsidR="00FD5ADD" w:rsidRPr="00FD5ADD" w:rsidRDefault="00FD5ADD" w:rsidP="00FD5ADD">
            <w:pPr>
              <w:jc w:val="center"/>
              <w:rPr>
                <w:szCs w:val="20"/>
                <w:lang w:val="en-GB"/>
              </w:rPr>
            </w:pPr>
            <w:r w:rsidRPr="00FD5ADD">
              <w:rPr>
                <w:szCs w:val="20"/>
                <w:lang w:val="en-GB"/>
              </w:rPr>
              <w:t>10</w:t>
            </w:r>
          </w:p>
        </w:tc>
        <w:tc>
          <w:tcPr>
            <w:tcW w:w="1657" w:type="dxa"/>
            <w:vMerge w:val="restart"/>
          </w:tcPr>
          <w:p w14:paraId="759B802B" w14:textId="77777777" w:rsidR="00FD5ADD" w:rsidRPr="00FD5ADD" w:rsidRDefault="00FD5ADD" w:rsidP="00FD5ADD">
            <w:pPr>
              <w:jc w:val="center"/>
              <w:rPr>
                <w:szCs w:val="20"/>
                <w:lang w:val="en-GB"/>
              </w:rPr>
            </w:pPr>
            <w:r w:rsidRPr="00FD5ADD">
              <w:rPr>
                <w:szCs w:val="20"/>
                <w:lang w:val="en-GB"/>
              </w:rPr>
              <w:t>0.21</w:t>
            </w:r>
          </w:p>
        </w:tc>
      </w:tr>
      <w:tr w:rsidR="00FD5ADD" w:rsidRPr="00FD5ADD" w14:paraId="509ACDB4" w14:textId="77777777" w:rsidTr="00F35B58">
        <w:trPr>
          <w:trHeight w:val="20"/>
        </w:trPr>
        <w:tc>
          <w:tcPr>
            <w:tcW w:w="3264" w:type="dxa"/>
            <w:noWrap/>
            <w:hideMark/>
          </w:tcPr>
          <w:p w14:paraId="7957B4DC" w14:textId="77777777" w:rsidR="00FD5ADD" w:rsidRPr="00FD5ADD" w:rsidRDefault="00FD5ADD" w:rsidP="00FD5ADD">
            <w:pPr>
              <w:rPr>
                <w:szCs w:val="20"/>
                <w:lang w:val="en-GB"/>
              </w:rPr>
            </w:pPr>
            <w:r w:rsidRPr="00FD5ADD">
              <w:rPr>
                <w:szCs w:val="20"/>
                <w:lang w:val="en-GB"/>
              </w:rPr>
              <w:t>Losses (not harvested) 2020 (%)</w:t>
            </w:r>
          </w:p>
        </w:tc>
        <w:tc>
          <w:tcPr>
            <w:tcW w:w="886" w:type="dxa"/>
            <w:noWrap/>
            <w:hideMark/>
          </w:tcPr>
          <w:p w14:paraId="34C25F32" w14:textId="77777777" w:rsidR="00FD5ADD" w:rsidRPr="00FD5ADD" w:rsidRDefault="00FD5ADD" w:rsidP="00FD5ADD">
            <w:pPr>
              <w:jc w:val="center"/>
              <w:rPr>
                <w:szCs w:val="20"/>
                <w:lang w:val="en-GB"/>
              </w:rPr>
            </w:pPr>
            <w:r w:rsidRPr="00FD5ADD">
              <w:rPr>
                <w:szCs w:val="20"/>
                <w:lang w:val="en-GB"/>
              </w:rPr>
              <w:t>6.05</w:t>
            </w:r>
          </w:p>
        </w:tc>
        <w:tc>
          <w:tcPr>
            <w:tcW w:w="907" w:type="dxa"/>
            <w:noWrap/>
            <w:hideMark/>
          </w:tcPr>
          <w:p w14:paraId="1FCAE3FF" w14:textId="77777777" w:rsidR="00FD5ADD" w:rsidRPr="00FD5ADD" w:rsidRDefault="00FD5ADD" w:rsidP="00FD5ADD">
            <w:pPr>
              <w:jc w:val="center"/>
              <w:rPr>
                <w:szCs w:val="20"/>
                <w:lang w:val="en-GB"/>
              </w:rPr>
            </w:pPr>
            <w:r w:rsidRPr="00FD5ADD">
              <w:rPr>
                <w:szCs w:val="20"/>
                <w:lang w:val="en-GB"/>
              </w:rPr>
              <w:t>5</w:t>
            </w:r>
          </w:p>
        </w:tc>
        <w:tc>
          <w:tcPr>
            <w:tcW w:w="886" w:type="dxa"/>
            <w:noWrap/>
            <w:hideMark/>
          </w:tcPr>
          <w:p w14:paraId="45997784" w14:textId="77777777" w:rsidR="00FD5ADD" w:rsidRPr="00FD5ADD" w:rsidRDefault="00FD5ADD" w:rsidP="00FD5ADD">
            <w:pPr>
              <w:jc w:val="center"/>
              <w:rPr>
                <w:szCs w:val="20"/>
                <w:lang w:val="en-GB"/>
              </w:rPr>
            </w:pPr>
            <w:r w:rsidRPr="00FD5ADD">
              <w:rPr>
                <w:szCs w:val="20"/>
                <w:lang w:val="en-GB"/>
              </w:rPr>
              <w:t>7.09</w:t>
            </w:r>
          </w:p>
        </w:tc>
        <w:tc>
          <w:tcPr>
            <w:tcW w:w="895" w:type="dxa"/>
            <w:noWrap/>
            <w:hideMark/>
          </w:tcPr>
          <w:p w14:paraId="2B8AE08A" w14:textId="77777777" w:rsidR="00FD5ADD" w:rsidRPr="00FD5ADD" w:rsidRDefault="00FD5ADD" w:rsidP="00FD5ADD">
            <w:pPr>
              <w:jc w:val="center"/>
              <w:rPr>
                <w:szCs w:val="20"/>
                <w:lang w:val="en-GB"/>
              </w:rPr>
            </w:pPr>
            <w:r w:rsidRPr="00FD5ADD">
              <w:rPr>
                <w:szCs w:val="20"/>
                <w:lang w:val="en-GB"/>
              </w:rPr>
              <w:t>0</w:t>
            </w:r>
          </w:p>
        </w:tc>
        <w:tc>
          <w:tcPr>
            <w:tcW w:w="886" w:type="dxa"/>
            <w:noWrap/>
            <w:hideMark/>
          </w:tcPr>
          <w:p w14:paraId="09D4E2F5" w14:textId="77777777" w:rsidR="00FD5ADD" w:rsidRPr="00FD5ADD" w:rsidRDefault="00FD5ADD" w:rsidP="00FD5ADD">
            <w:pPr>
              <w:jc w:val="center"/>
              <w:rPr>
                <w:szCs w:val="20"/>
                <w:lang w:val="en-GB"/>
              </w:rPr>
            </w:pPr>
            <w:r w:rsidRPr="00FD5ADD">
              <w:rPr>
                <w:szCs w:val="20"/>
                <w:lang w:val="en-GB"/>
              </w:rPr>
              <w:t>10</w:t>
            </w:r>
          </w:p>
        </w:tc>
        <w:tc>
          <w:tcPr>
            <w:tcW w:w="1657" w:type="dxa"/>
            <w:vMerge/>
          </w:tcPr>
          <w:p w14:paraId="471375CB" w14:textId="77777777" w:rsidR="00FD5ADD" w:rsidRPr="00FD5ADD" w:rsidRDefault="00FD5ADD" w:rsidP="00FD5ADD">
            <w:pPr>
              <w:jc w:val="center"/>
              <w:rPr>
                <w:szCs w:val="20"/>
                <w:lang w:val="en-GB"/>
              </w:rPr>
            </w:pPr>
          </w:p>
        </w:tc>
      </w:tr>
      <w:tr w:rsidR="00FD5ADD" w:rsidRPr="00FD5ADD" w14:paraId="758F7F8D" w14:textId="77777777" w:rsidTr="00F35B58">
        <w:trPr>
          <w:trHeight w:val="20"/>
        </w:trPr>
        <w:tc>
          <w:tcPr>
            <w:tcW w:w="3264" w:type="dxa"/>
            <w:noWrap/>
            <w:hideMark/>
          </w:tcPr>
          <w:p w14:paraId="5DD24DE0" w14:textId="77777777" w:rsidR="00FD5ADD" w:rsidRPr="00FD5ADD" w:rsidRDefault="00FD5ADD" w:rsidP="00FD5ADD">
            <w:pPr>
              <w:rPr>
                <w:szCs w:val="20"/>
                <w:lang w:val="en-GB"/>
              </w:rPr>
            </w:pPr>
            <w:r w:rsidRPr="00FD5ADD">
              <w:rPr>
                <w:szCs w:val="20"/>
                <w:lang w:val="en-GB"/>
              </w:rPr>
              <w:t>Post-Harvest Losses (2019) (%)</w:t>
            </w:r>
          </w:p>
        </w:tc>
        <w:tc>
          <w:tcPr>
            <w:tcW w:w="886" w:type="dxa"/>
            <w:noWrap/>
            <w:hideMark/>
          </w:tcPr>
          <w:p w14:paraId="68028242" w14:textId="77777777" w:rsidR="00FD5ADD" w:rsidRPr="00FD5ADD" w:rsidRDefault="00FD5ADD" w:rsidP="00FD5ADD">
            <w:pPr>
              <w:jc w:val="center"/>
              <w:rPr>
                <w:szCs w:val="20"/>
                <w:lang w:val="en-GB"/>
              </w:rPr>
            </w:pPr>
            <w:r w:rsidRPr="00FD5ADD">
              <w:rPr>
                <w:szCs w:val="20"/>
                <w:lang w:val="en-GB"/>
              </w:rPr>
              <w:t>16.20</w:t>
            </w:r>
          </w:p>
        </w:tc>
        <w:tc>
          <w:tcPr>
            <w:tcW w:w="907" w:type="dxa"/>
            <w:noWrap/>
            <w:hideMark/>
          </w:tcPr>
          <w:p w14:paraId="434C0FCB" w14:textId="77777777" w:rsidR="00FD5ADD" w:rsidRPr="00FD5ADD" w:rsidRDefault="00FD5ADD" w:rsidP="00FD5ADD">
            <w:pPr>
              <w:jc w:val="center"/>
              <w:rPr>
                <w:szCs w:val="20"/>
                <w:lang w:val="en-GB"/>
              </w:rPr>
            </w:pPr>
            <w:r w:rsidRPr="00FD5ADD">
              <w:rPr>
                <w:szCs w:val="20"/>
                <w:lang w:val="en-GB"/>
              </w:rPr>
              <w:t>10</w:t>
            </w:r>
          </w:p>
        </w:tc>
        <w:tc>
          <w:tcPr>
            <w:tcW w:w="886" w:type="dxa"/>
            <w:noWrap/>
            <w:hideMark/>
          </w:tcPr>
          <w:p w14:paraId="5806B536" w14:textId="77777777" w:rsidR="00FD5ADD" w:rsidRPr="00FD5ADD" w:rsidRDefault="00FD5ADD" w:rsidP="00FD5ADD">
            <w:pPr>
              <w:jc w:val="center"/>
              <w:rPr>
                <w:szCs w:val="20"/>
                <w:lang w:val="en-GB"/>
              </w:rPr>
            </w:pPr>
            <w:r w:rsidRPr="00FD5ADD">
              <w:rPr>
                <w:szCs w:val="20"/>
                <w:lang w:val="en-GB"/>
              </w:rPr>
              <w:t>14.34</w:t>
            </w:r>
          </w:p>
        </w:tc>
        <w:tc>
          <w:tcPr>
            <w:tcW w:w="895" w:type="dxa"/>
            <w:noWrap/>
            <w:hideMark/>
          </w:tcPr>
          <w:p w14:paraId="1462C9FD" w14:textId="77777777" w:rsidR="00FD5ADD" w:rsidRPr="00FD5ADD" w:rsidRDefault="00FD5ADD" w:rsidP="00FD5ADD">
            <w:pPr>
              <w:jc w:val="center"/>
              <w:rPr>
                <w:szCs w:val="20"/>
                <w:lang w:val="en-GB"/>
              </w:rPr>
            </w:pPr>
            <w:r w:rsidRPr="00FD5ADD">
              <w:rPr>
                <w:szCs w:val="20"/>
                <w:lang w:val="en-GB"/>
              </w:rPr>
              <w:t>5</w:t>
            </w:r>
          </w:p>
        </w:tc>
        <w:tc>
          <w:tcPr>
            <w:tcW w:w="886" w:type="dxa"/>
            <w:noWrap/>
            <w:hideMark/>
          </w:tcPr>
          <w:p w14:paraId="2CEB9B92" w14:textId="77777777" w:rsidR="00FD5ADD" w:rsidRPr="00FD5ADD" w:rsidRDefault="00FD5ADD" w:rsidP="00FD5ADD">
            <w:pPr>
              <w:jc w:val="center"/>
              <w:rPr>
                <w:szCs w:val="20"/>
                <w:lang w:val="en-GB"/>
              </w:rPr>
            </w:pPr>
            <w:r w:rsidRPr="00FD5ADD">
              <w:rPr>
                <w:szCs w:val="20"/>
                <w:lang w:val="en-GB"/>
              </w:rPr>
              <w:t>22.5</w:t>
            </w:r>
          </w:p>
        </w:tc>
        <w:tc>
          <w:tcPr>
            <w:tcW w:w="1657" w:type="dxa"/>
            <w:vMerge w:val="restart"/>
          </w:tcPr>
          <w:p w14:paraId="65BBED67" w14:textId="77777777" w:rsidR="00FD5ADD" w:rsidRPr="00FD5ADD" w:rsidRDefault="00FD5ADD" w:rsidP="00FD5ADD">
            <w:pPr>
              <w:jc w:val="center"/>
              <w:rPr>
                <w:szCs w:val="20"/>
                <w:lang w:val="en-GB"/>
              </w:rPr>
            </w:pPr>
            <w:r w:rsidRPr="00FD5ADD">
              <w:rPr>
                <w:szCs w:val="20"/>
                <w:lang w:val="en-GB"/>
              </w:rPr>
              <w:t>0.00</w:t>
            </w:r>
          </w:p>
        </w:tc>
      </w:tr>
      <w:tr w:rsidR="00FD5ADD" w:rsidRPr="00FD5ADD" w14:paraId="0C95CED3" w14:textId="77777777" w:rsidTr="00F35B58">
        <w:trPr>
          <w:trHeight w:val="20"/>
        </w:trPr>
        <w:tc>
          <w:tcPr>
            <w:tcW w:w="3264" w:type="dxa"/>
            <w:tcBorders>
              <w:bottom w:val="single" w:sz="12" w:space="0" w:color="auto"/>
            </w:tcBorders>
            <w:noWrap/>
            <w:hideMark/>
          </w:tcPr>
          <w:p w14:paraId="1D1D3D16" w14:textId="77777777" w:rsidR="00FD5ADD" w:rsidRPr="00FD5ADD" w:rsidRDefault="00FD5ADD" w:rsidP="00FD5ADD">
            <w:pPr>
              <w:rPr>
                <w:szCs w:val="20"/>
                <w:lang w:val="en-GB"/>
              </w:rPr>
            </w:pPr>
            <w:r w:rsidRPr="00FD5ADD">
              <w:rPr>
                <w:szCs w:val="20"/>
                <w:lang w:val="en-GB"/>
              </w:rPr>
              <w:t>Post-Harvest Losses (2020) (%)</w:t>
            </w:r>
          </w:p>
        </w:tc>
        <w:tc>
          <w:tcPr>
            <w:tcW w:w="886" w:type="dxa"/>
            <w:tcBorders>
              <w:bottom w:val="single" w:sz="12" w:space="0" w:color="auto"/>
            </w:tcBorders>
            <w:noWrap/>
            <w:hideMark/>
          </w:tcPr>
          <w:p w14:paraId="05BD2806" w14:textId="77777777" w:rsidR="00FD5ADD" w:rsidRPr="00FD5ADD" w:rsidRDefault="00FD5ADD" w:rsidP="00FD5ADD">
            <w:pPr>
              <w:jc w:val="center"/>
              <w:rPr>
                <w:szCs w:val="20"/>
                <w:lang w:val="en-GB"/>
              </w:rPr>
            </w:pPr>
            <w:r w:rsidRPr="00FD5ADD">
              <w:rPr>
                <w:szCs w:val="20"/>
                <w:lang w:val="en-GB"/>
              </w:rPr>
              <w:t>26.78</w:t>
            </w:r>
          </w:p>
        </w:tc>
        <w:tc>
          <w:tcPr>
            <w:tcW w:w="907" w:type="dxa"/>
            <w:tcBorders>
              <w:bottom w:val="single" w:sz="12" w:space="0" w:color="auto"/>
            </w:tcBorders>
            <w:noWrap/>
            <w:hideMark/>
          </w:tcPr>
          <w:p w14:paraId="44B5160B" w14:textId="77777777" w:rsidR="00FD5ADD" w:rsidRPr="00FD5ADD" w:rsidRDefault="00FD5ADD" w:rsidP="00FD5ADD">
            <w:pPr>
              <w:jc w:val="center"/>
              <w:rPr>
                <w:szCs w:val="20"/>
                <w:lang w:val="en-GB"/>
              </w:rPr>
            </w:pPr>
            <w:r w:rsidRPr="00FD5ADD">
              <w:rPr>
                <w:szCs w:val="20"/>
                <w:lang w:val="en-GB"/>
              </w:rPr>
              <w:t>25</w:t>
            </w:r>
          </w:p>
        </w:tc>
        <w:tc>
          <w:tcPr>
            <w:tcW w:w="886" w:type="dxa"/>
            <w:tcBorders>
              <w:bottom w:val="single" w:sz="12" w:space="0" w:color="auto"/>
            </w:tcBorders>
            <w:noWrap/>
            <w:hideMark/>
          </w:tcPr>
          <w:p w14:paraId="721B6FBF" w14:textId="77777777" w:rsidR="00FD5ADD" w:rsidRPr="00FD5ADD" w:rsidRDefault="00FD5ADD" w:rsidP="00FD5ADD">
            <w:pPr>
              <w:jc w:val="center"/>
              <w:rPr>
                <w:szCs w:val="20"/>
                <w:lang w:val="en-GB"/>
              </w:rPr>
            </w:pPr>
            <w:r w:rsidRPr="00FD5ADD">
              <w:rPr>
                <w:szCs w:val="20"/>
                <w:lang w:val="en-GB"/>
              </w:rPr>
              <w:t>22.39</w:t>
            </w:r>
          </w:p>
        </w:tc>
        <w:tc>
          <w:tcPr>
            <w:tcW w:w="895" w:type="dxa"/>
            <w:tcBorders>
              <w:bottom w:val="single" w:sz="12" w:space="0" w:color="auto"/>
            </w:tcBorders>
            <w:noWrap/>
            <w:hideMark/>
          </w:tcPr>
          <w:p w14:paraId="219AE4BB" w14:textId="77777777" w:rsidR="00FD5ADD" w:rsidRPr="00FD5ADD" w:rsidRDefault="00FD5ADD" w:rsidP="00FD5ADD">
            <w:pPr>
              <w:jc w:val="center"/>
              <w:rPr>
                <w:szCs w:val="20"/>
                <w:lang w:val="en-GB"/>
              </w:rPr>
            </w:pPr>
            <w:r w:rsidRPr="00FD5ADD">
              <w:rPr>
                <w:szCs w:val="20"/>
                <w:lang w:val="en-GB"/>
              </w:rPr>
              <w:t>13.75</w:t>
            </w:r>
          </w:p>
        </w:tc>
        <w:tc>
          <w:tcPr>
            <w:tcW w:w="886" w:type="dxa"/>
            <w:tcBorders>
              <w:bottom w:val="single" w:sz="12" w:space="0" w:color="auto"/>
            </w:tcBorders>
            <w:noWrap/>
            <w:hideMark/>
          </w:tcPr>
          <w:p w14:paraId="4E45949A" w14:textId="77777777" w:rsidR="00FD5ADD" w:rsidRPr="00FD5ADD" w:rsidRDefault="00FD5ADD" w:rsidP="00FD5ADD">
            <w:pPr>
              <w:jc w:val="center"/>
              <w:rPr>
                <w:szCs w:val="20"/>
                <w:lang w:val="en-GB"/>
              </w:rPr>
            </w:pPr>
            <w:r w:rsidRPr="00FD5ADD">
              <w:rPr>
                <w:szCs w:val="20"/>
                <w:lang w:val="en-GB"/>
              </w:rPr>
              <w:t>31.25</w:t>
            </w:r>
          </w:p>
        </w:tc>
        <w:tc>
          <w:tcPr>
            <w:tcW w:w="1657" w:type="dxa"/>
            <w:vMerge/>
            <w:tcBorders>
              <w:bottom w:val="single" w:sz="12" w:space="0" w:color="auto"/>
            </w:tcBorders>
          </w:tcPr>
          <w:p w14:paraId="5E62BA66" w14:textId="77777777" w:rsidR="00FD5ADD" w:rsidRPr="00FD5ADD" w:rsidRDefault="00FD5ADD" w:rsidP="00FD5ADD">
            <w:pPr>
              <w:jc w:val="center"/>
              <w:rPr>
                <w:szCs w:val="20"/>
                <w:lang w:val="en-GB"/>
              </w:rPr>
            </w:pPr>
          </w:p>
        </w:tc>
      </w:tr>
    </w:tbl>
    <w:p w14:paraId="6A2C1A1D" w14:textId="77777777" w:rsidR="00FD5ADD" w:rsidRPr="00FD5ADD" w:rsidRDefault="00FD5ADD" w:rsidP="005D0391">
      <w:pPr>
        <w:rPr>
          <w:rFonts w:ascii="Times New Roman" w:hAnsi="Times New Roman" w:cs="Times New Roman"/>
          <w:i/>
          <w:iCs/>
          <w:sz w:val="20"/>
          <w:szCs w:val="20"/>
          <w:lang w:val="en-GB"/>
        </w:rPr>
      </w:pPr>
      <w:r w:rsidRPr="00FD5ADD">
        <w:rPr>
          <w:rFonts w:ascii="Times New Roman" w:hAnsi="Times New Roman" w:cs="Times New Roman"/>
          <w:i/>
          <w:iCs/>
          <w:sz w:val="20"/>
          <w:szCs w:val="20"/>
          <w:lang w:val="en-GB"/>
        </w:rPr>
        <w:t>Source: Authors based on farm structured survey *P value for Yuen’s trimmed mean t-test</w:t>
      </w:r>
    </w:p>
    <w:p w14:paraId="38F2C3D8" w14:textId="77777777" w:rsidR="00FD5ADD" w:rsidRPr="00FD5ADD" w:rsidRDefault="00FD5ADD" w:rsidP="005D0391">
      <w:pPr>
        <w:spacing w:before="120" w:after="0" w:line="276" w:lineRule="auto"/>
        <w:rPr>
          <w:rFonts w:ascii="Times New Roman" w:eastAsia="Times New Roman" w:hAnsi="Times New Roman" w:cs="Times New Roman"/>
          <w:bCs/>
          <w:sz w:val="24"/>
          <w:szCs w:val="24"/>
          <w:lang w:val="en-GB"/>
        </w:rPr>
      </w:pPr>
      <w:bookmarkStart w:id="15" w:name="_Toc67965022"/>
      <w:bookmarkStart w:id="16" w:name="_Toc71976466"/>
      <w:r w:rsidRPr="00FD5ADD">
        <w:rPr>
          <w:rFonts w:ascii="Times New Roman" w:eastAsia="Times New Roman" w:hAnsi="Times New Roman" w:cs="Times New Roman"/>
          <w:bCs/>
          <w:sz w:val="24"/>
          <w:szCs w:val="24"/>
          <w:lang w:val="en-GB"/>
        </w:rPr>
        <w:t xml:space="preserve">Table </w:t>
      </w:r>
      <w:r w:rsidRPr="00FD5ADD">
        <w:rPr>
          <w:rFonts w:ascii="Times New Roman" w:eastAsia="Times New Roman" w:hAnsi="Times New Roman" w:cs="Times New Roman"/>
          <w:bCs/>
          <w:sz w:val="24"/>
          <w:szCs w:val="24"/>
          <w:lang w:val="en-GB"/>
        </w:rPr>
        <w:fldChar w:fldCharType="begin"/>
      </w:r>
      <w:r w:rsidRPr="00FD5ADD">
        <w:rPr>
          <w:rFonts w:ascii="Times New Roman" w:eastAsia="Times New Roman" w:hAnsi="Times New Roman" w:cs="Times New Roman"/>
          <w:bCs/>
          <w:sz w:val="24"/>
          <w:szCs w:val="24"/>
          <w:lang w:val="en-GB"/>
        </w:rPr>
        <w:instrText xml:space="preserve"> SEQ Table \* ARABIC </w:instrText>
      </w:r>
      <w:r w:rsidRPr="00FD5ADD">
        <w:rPr>
          <w:rFonts w:ascii="Times New Roman" w:eastAsia="Times New Roman" w:hAnsi="Times New Roman" w:cs="Times New Roman"/>
          <w:bCs/>
          <w:sz w:val="24"/>
          <w:szCs w:val="24"/>
          <w:lang w:val="en-GB"/>
        </w:rPr>
        <w:fldChar w:fldCharType="separate"/>
      </w:r>
      <w:r w:rsidRPr="00FD5ADD">
        <w:rPr>
          <w:rFonts w:ascii="Times New Roman" w:eastAsia="Times New Roman" w:hAnsi="Times New Roman" w:cs="Times New Roman"/>
          <w:bCs/>
          <w:noProof/>
          <w:sz w:val="24"/>
          <w:szCs w:val="24"/>
          <w:lang w:val="en-GB"/>
        </w:rPr>
        <w:t>3</w:t>
      </w:r>
      <w:r w:rsidRPr="00FD5ADD">
        <w:rPr>
          <w:rFonts w:ascii="Times New Roman" w:eastAsia="Times New Roman" w:hAnsi="Times New Roman" w:cs="Times New Roman"/>
          <w:bCs/>
          <w:noProof/>
          <w:sz w:val="24"/>
          <w:szCs w:val="24"/>
          <w:lang w:val="en-GB"/>
        </w:rPr>
        <w:fldChar w:fldCharType="end"/>
      </w:r>
      <w:r w:rsidRPr="00FD5ADD">
        <w:rPr>
          <w:rFonts w:ascii="Times New Roman" w:eastAsia="Times New Roman" w:hAnsi="Times New Roman" w:cs="Times New Roman"/>
          <w:bCs/>
          <w:sz w:val="24"/>
          <w:szCs w:val="24"/>
          <w:lang w:val="en-GB"/>
        </w:rPr>
        <w:t>: Yuen’s trimmed mean t-test – Tomatoes</w:t>
      </w:r>
      <w:bookmarkEnd w:id="15"/>
      <w:bookmarkEnd w:id="16"/>
    </w:p>
    <w:tbl>
      <w:tblPr>
        <w:tblStyle w:val="15"/>
        <w:tblW w:w="5000" w:type="pct"/>
        <w:tblLook w:val="04A0" w:firstRow="1" w:lastRow="0" w:firstColumn="1" w:lastColumn="0" w:noHBand="0" w:noVBand="1"/>
      </w:tblPr>
      <w:tblGrid>
        <w:gridCol w:w="2669"/>
        <w:gridCol w:w="1411"/>
        <w:gridCol w:w="1046"/>
        <w:gridCol w:w="1045"/>
        <w:gridCol w:w="54"/>
        <w:gridCol w:w="1046"/>
        <w:gridCol w:w="1046"/>
        <w:gridCol w:w="1043"/>
      </w:tblGrid>
      <w:tr w:rsidR="00FD5ADD" w:rsidRPr="00FD5ADD" w14:paraId="1C48FCFD" w14:textId="77777777" w:rsidTr="00F35B58">
        <w:trPr>
          <w:cnfStyle w:val="100000000000" w:firstRow="1" w:lastRow="0" w:firstColumn="0" w:lastColumn="0" w:oddVBand="0" w:evenVBand="0" w:oddHBand="0" w:evenHBand="0" w:firstRowFirstColumn="0" w:firstRowLastColumn="0" w:lastRowFirstColumn="0" w:lastRowLastColumn="0"/>
          <w:trHeight w:val="20"/>
        </w:trPr>
        <w:tc>
          <w:tcPr>
            <w:tcW w:w="1425" w:type="pct"/>
            <w:noWrap/>
            <w:hideMark/>
          </w:tcPr>
          <w:p w14:paraId="5450123B" w14:textId="77777777" w:rsidR="00FD5ADD" w:rsidRPr="00FD5ADD" w:rsidRDefault="00FD5ADD" w:rsidP="00FD5ADD">
            <w:pPr>
              <w:rPr>
                <w:lang w:val="en-GB"/>
              </w:rPr>
            </w:pPr>
          </w:p>
        </w:tc>
        <w:tc>
          <w:tcPr>
            <w:tcW w:w="754" w:type="pct"/>
            <w:noWrap/>
            <w:vAlign w:val="center"/>
            <w:hideMark/>
          </w:tcPr>
          <w:p w14:paraId="1ED83654" w14:textId="77777777" w:rsidR="00FD5ADD" w:rsidRPr="00FD5ADD" w:rsidRDefault="00FD5ADD" w:rsidP="00FD5ADD">
            <w:pPr>
              <w:jc w:val="right"/>
              <w:rPr>
                <w:b/>
                <w:bCs/>
                <w:lang w:val="en-GB"/>
              </w:rPr>
            </w:pPr>
            <w:r w:rsidRPr="00FD5ADD">
              <w:rPr>
                <w:b/>
                <w:bCs/>
                <w:lang w:val="en-GB"/>
              </w:rPr>
              <w:t>tr. mean dif</w:t>
            </w:r>
          </w:p>
        </w:tc>
        <w:tc>
          <w:tcPr>
            <w:tcW w:w="1117" w:type="pct"/>
            <w:gridSpan w:val="2"/>
            <w:noWrap/>
            <w:vAlign w:val="center"/>
            <w:hideMark/>
          </w:tcPr>
          <w:p w14:paraId="67A906A3" w14:textId="77777777" w:rsidR="00FD5ADD" w:rsidRPr="00FD5ADD" w:rsidRDefault="00FD5ADD" w:rsidP="00FD5ADD">
            <w:pPr>
              <w:jc w:val="right"/>
              <w:rPr>
                <w:b/>
                <w:bCs/>
                <w:lang w:val="en-GB"/>
              </w:rPr>
            </w:pPr>
            <w:r w:rsidRPr="00FD5ADD">
              <w:rPr>
                <w:b/>
                <w:bCs/>
                <w:lang w:val="en-GB"/>
              </w:rPr>
              <w:t>95% CI</w:t>
            </w:r>
          </w:p>
        </w:tc>
        <w:tc>
          <w:tcPr>
            <w:tcW w:w="587" w:type="pct"/>
            <w:gridSpan w:val="2"/>
            <w:noWrap/>
            <w:vAlign w:val="center"/>
            <w:hideMark/>
          </w:tcPr>
          <w:p w14:paraId="5A70780D" w14:textId="77777777" w:rsidR="00FD5ADD" w:rsidRPr="00FD5ADD" w:rsidRDefault="00FD5ADD" w:rsidP="00FD5ADD">
            <w:pPr>
              <w:jc w:val="right"/>
              <w:rPr>
                <w:b/>
                <w:bCs/>
                <w:lang w:val="en-GB"/>
              </w:rPr>
            </w:pPr>
            <w:r w:rsidRPr="00FD5ADD">
              <w:rPr>
                <w:b/>
                <w:bCs/>
                <w:lang w:val="en-GB"/>
              </w:rPr>
              <w:t>test stat.</w:t>
            </w:r>
          </w:p>
        </w:tc>
        <w:tc>
          <w:tcPr>
            <w:tcW w:w="559" w:type="pct"/>
            <w:noWrap/>
            <w:vAlign w:val="center"/>
            <w:hideMark/>
          </w:tcPr>
          <w:p w14:paraId="27BA6696" w14:textId="77777777" w:rsidR="00FD5ADD" w:rsidRPr="00FD5ADD" w:rsidRDefault="00FD5ADD" w:rsidP="00FD5ADD">
            <w:pPr>
              <w:jc w:val="right"/>
              <w:rPr>
                <w:b/>
                <w:bCs/>
                <w:lang w:val="en-GB"/>
              </w:rPr>
            </w:pPr>
            <w:r w:rsidRPr="00FD5ADD">
              <w:rPr>
                <w:b/>
                <w:bCs/>
                <w:lang w:val="en-GB"/>
              </w:rPr>
              <w:t>df</w:t>
            </w:r>
          </w:p>
        </w:tc>
        <w:tc>
          <w:tcPr>
            <w:tcW w:w="559" w:type="pct"/>
            <w:noWrap/>
            <w:vAlign w:val="center"/>
            <w:hideMark/>
          </w:tcPr>
          <w:p w14:paraId="34FE567E" w14:textId="77777777" w:rsidR="00FD5ADD" w:rsidRPr="00FD5ADD" w:rsidRDefault="00FD5ADD" w:rsidP="00FD5ADD">
            <w:pPr>
              <w:jc w:val="right"/>
              <w:rPr>
                <w:b/>
                <w:bCs/>
                <w:lang w:val="en-GB"/>
              </w:rPr>
            </w:pPr>
            <w:r w:rsidRPr="00FD5ADD">
              <w:rPr>
                <w:b/>
                <w:bCs/>
                <w:lang w:val="en-GB"/>
              </w:rPr>
              <w:t>p-val</w:t>
            </w:r>
          </w:p>
        </w:tc>
      </w:tr>
      <w:tr w:rsidR="00FD5ADD" w:rsidRPr="00FD5ADD" w14:paraId="4BBC06F5" w14:textId="77777777" w:rsidTr="00F35B58">
        <w:trPr>
          <w:trHeight w:val="20"/>
        </w:trPr>
        <w:tc>
          <w:tcPr>
            <w:tcW w:w="1425" w:type="pct"/>
            <w:noWrap/>
            <w:hideMark/>
          </w:tcPr>
          <w:p w14:paraId="371E27E3" w14:textId="77777777" w:rsidR="00FD5ADD" w:rsidRPr="00FD5ADD" w:rsidRDefault="00FD5ADD" w:rsidP="00FD5ADD">
            <w:pPr>
              <w:rPr>
                <w:lang w:val="en-GB"/>
              </w:rPr>
            </w:pPr>
            <w:r w:rsidRPr="00FD5ADD">
              <w:rPr>
                <w:lang w:val="en-GB"/>
              </w:rPr>
              <w:t xml:space="preserve">Quantity Produced </w:t>
            </w:r>
          </w:p>
        </w:tc>
        <w:tc>
          <w:tcPr>
            <w:tcW w:w="754" w:type="pct"/>
            <w:noWrap/>
            <w:vAlign w:val="center"/>
            <w:hideMark/>
          </w:tcPr>
          <w:p w14:paraId="1AED0F3A" w14:textId="77777777" w:rsidR="00FD5ADD" w:rsidRPr="00FD5ADD" w:rsidRDefault="00FD5ADD" w:rsidP="00FD5ADD">
            <w:pPr>
              <w:jc w:val="right"/>
              <w:rPr>
                <w:lang w:val="en-GB"/>
              </w:rPr>
            </w:pPr>
            <w:r w:rsidRPr="00FD5ADD">
              <w:rPr>
                <w:lang w:val="en-GB"/>
              </w:rPr>
              <w:t>-5.13</w:t>
            </w:r>
          </w:p>
        </w:tc>
        <w:tc>
          <w:tcPr>
            <w:tcW w:w="559" w:type="pct"/>
            <w:noWrap/>
            <w:vAlign w:val="center"/>
            <w:hideMark/>
          </w:tcPr>
          <w:p w14:paraId="136DDCCB" w14:textId="77777777" w:rsidR="00FD5ADD" w:rsidRPr="00FD5ADD" w:rsidRDefault="00FD5ADD" w:rsidP="00FD5ADD">
            <w:pPr>
              <w:jc w:val="right"/>
              <w:rPr>
                <w:lang w:val="en-GB"/>
              </w:rPr>
            </w:pPr>
            <w:r w:rsidRPr="00FD5ADD">
              <w:rPr>
                <w:lang w:val="en-GB"/>
              </w:rPr>
              <w:t>-22.38</w:t>
            </w:r>
          </w:p>
        </w:tc>
        <w:tc>
          <w:tcPr>
            <w:tcW w:w="587" w:type="pct"/>
            <w:gridSpan w:val="2"/>
            <w:noWrap/>
            <w:vAlign w:val="center"/>
            <w:hideMark/>
          </w:tcPr>
          <w:p w14:paraId="78BC1E7A" w14:textId="77777777" w:rsidR="00FD5ADD" w:rsidRPr="00FD5ADD" w:rsidRDefault="00FD5ADD" w:rsidP="00FD5ADD">
            <w:pPr>
              <w:jc w:val="right"/>
              <w:rPr>
                <w:lang w:val="en-GB"/>
              </w:rPr>
            </w:pPr>
            <w:r w:rsidRPr="00FD5ADD">
              <w:rPr>
                <w:lang w:val="en-GB"/>
              </w:rPr>
              <w:t>12.13</w:t>
            </w:r>
          </w:p>
        </w:tc>
        <w:tc>
          <w:tcPr>
            <w:tcW w:w="559" w:type="pct"/>
            <w:noWrap/>
            <w:vAlign w:val="center"/>
            <w:hideMark/>
          </w:tcPr>
          <w:p w14:paraId="63EA1A24" w14:textId="77777777" w:rsidR="00FD5ADD" w:rsidRPr="00FD5ADD" w:rsidRDefault="00FD5ADD" w:rsidP="00FD5ADD">
            <w:pPr>
              <w:jc w:val="right"/>
              <w:rPr>
                <w:lang w:val="en-GB"/>
              </w:rPr>
            </w:pPr>
            <w:r w:rsidRPr="00FD5ADD">
              <w:rPr>
                <w:lang w:val="en-GB"/>
              </w:rPr>
              <w:t>-0.59</w:t>
            </w:r>
          </w:p>
        </w:tc>
        <w:tc>
          <w:tcPr>
            <w:tcW w:w="559" w:type="pct"/>
            <w:noWrap/>
            <w:vAlign w:val="center"/>
            <w:hideMark/>
          </w:tcPr>
          <w:p w14:paraId="26F9BF9B" w14:textId="77777777" w:rsidR="00FD5ADD" w:rsidRPr="00FD5ADD" w:rsidRDefault="00FD5ADD" w:rsidP="00FD5ADD">
            <w:pPr>
              <w:jc w:val="right"/>
              <w:rPr>
                <w:lang w:val="en-GB"/>
              </w:rPr>
            </w:pPr>
            <w:r w:rsidRPr="00FD5ADD">
              <w:rPr>
                <w:lang w:val="en-GB"/>
              </w:rPr>
              <w:t>79</w:t>
            </w:r>
          </w:p>
        </w:tc>
        <w:tc>
          <w:tcPr>
            <w:tcW w:w="559" w:type="pct"/>
            <w:noWrap/>
            <w:vAlign w:val="center"/>
            <w:hideMark/>
          </w:tcPr>
          <w:p w14:paraId="56385FB2" w14:textId="77777777" w:rsidR="00FD5ADD" w:rsidRPr="00FD5ADD" w:rsidRDefault="00FD5ADD" w:rsidP="00FD5ADD">
            <w:pPr>
              <w:jc w:val="right"/>
              <w:rPr>
                <w:lang w:val="en-GB"/>
              </w:rPr>
            </w:pPr>
            <w:r w:rsidRPr="00FD5ADD">
              <w:rPr>
                <w:lang w:val="en-GB"/>
              </w:rPr>
              <w:t>0.56</w:t>
            </w:r>
          </w:p>
        </w:tc>
      </w:tr>
      <w:tr w:rsidR="00FD5ADD" w:rsidRPr="00FD5ADD" w14:paraId="67D4116D" w14:textId="77777777" w:rsidTr="00F35B58">
        <w:trPr>
          <w:trHeight w:val="20"/>
        </w:trPr>
        <w:tc>
          <w:tcPr>
            <w:tcW w:w="1425" w:type="pct"/>
            <w:noWrap/>
            <w:hideMark/>
          </w:tcPr>
          <w:p w14:paraId="0763AFF0" w14:textId="77777777" w:rsidR="00FD5ADD" w:rsidRPr="00FD5ADD" w:rsidRDefault="00FD5ADD" w:rsidP="00FD5ADD">
            <w:pPr>
              <w:rPr>
                <w:lang w:val="en-GB"/>
              </w:rPr>
            </w:pPr>
            <w:r w:rsidRPr="00FD5ADD">
              <w:rPr>
                <w:lang w:val="en-GB"/>
              </w:rPr>
              <w:t xml:space="preserve">Quantity Sold </w:t>
            </w:r>
          </w:p>
        </w:tc>
        <w:tc>
          <w:tcPr>
            <w:tcW w:w="754" w:type="pct"/>
            <w:noWrap/>
            <w:vAlign w:val="center"/>
            <w:hideMark/>
          </w:tcPr>
          <w:p w14:paraId="16612FE1" w14:textId="77777777" w:rsidR="00FD5ADD" w:rsidRPr="00FD5ADD" w:rsidRDefault="00FD5ADD" w:rsidP="00FD5ADD">
            <w:pPr>
              <w:jc w:val="right"/>
              <w:rPr>
                <w:lang w:val="en-GB"/>
              </w:rPr>
            </w:pPr>
            <w:r w:rsidRPr="00FD5ADD">
              <w:rPr>
                <w:lang w:val="en-GB"/>
              </w:rPr>
              <w:t>28.31</w:t>
            </w:r>
          </w:p>
        </w:tc>
        <w:tc>
          <w:tcPr>
            <w:tcW w:w="559" w:type="pct"/>
            <w:noWrap/>
            <w:vAlign w:val="center"/>
            <w:hideMark/>
          </w:tcPr>
          <w:p w14:paraId="29768C3A" w14:textId="77777777" w:rsidR="00FD5ADD" w:rsidRPr="00FD5ADD" w:rsidRDefault="00FD5ADD" w:rsidP="00FD5ADD">
            <w:pPr>
              <w:jc w:val="right"/>
              <w:rPr>
                <w:lang w:val="en-GB"/>
              </w:rPr>
            </w:pPr>
            <w:r w:rsidRPr="00FD5ADD">
              <w:rPr>
                <w:lang w:val="en-GB"/>
              </w:rPr>
              <w:t>3.80</w:t>
            </w:r>
          </w:p>
        </w:tc>
        <w:tc>
          <w:tcPr>
            <w:tcW w:w="587" w:type="pct"/>
            <w:gridSpan w:val="2"/>
            <w:noWrap/>
            <w:vAlign w:val="center"/>
            <w:hideMark/>
          </w:tcPr>
          <w:p w14:paraId="43EE5D78" w14:textId="77777777" w:rsidR="00FD5ADD" w:rsidRPr="00FD5ADD" w:rsidRDefault="00FD5ADD" w:rsidP="00FD5ADD">
            <w:pPr>
              <w:jc w:val="right"/>
              <w:rPr>
                <w:lang w:val="en-GB"/>
              </w:rPr>
            </w:pPr>
            <w:r w:rsidRPr="00FD5ADD">
              <w:rPr>
                <w:lang w:val="en-GB"/>
              </w:rPr>
              <w:t>52.82</w:t>
            </w:r>
          </w:p>
        </w:tc>
        <w:tc>
          <w:tcPr>
            <w:tcW w:w="559" w:type="pct"/>
            <w:noWrap/>
            <w:vAlign w:val="center"/>
            <w:hideMark/>
          </w:tcPr>
          <w:p w14:paraId="2A849A9D" w14:textId="77777777" w:rsidR="00FD5ADD" w:rsidRPr="00FD5ADD" w:rsidRDefault="00FD5ADD" w:rsidP="00FD5ADD">
            <w:pPr>
              <w:jc w:val="right"/>
              <w:rPr>
                <w:lang w:val="en-GB"/>
              </w:rPr>
            </w:pPr>
            <w:r w:rsidRPr="00FD5ADD">
              <w:rPr>
                <w:lang w:val="en-GB"/>
              </w:rPr>
              <w:t>2.30</w:t>
            </w:r>
          </w:p>
        </w:tc>
        <w:tc>
          <w:tcPr>
            <w:tcW w:w="559" w:type="pct"/>
            <w:noWrap/>
            <w:vAlign w:val="center"/>
            <w:hideMark/>
          </w:tcPr>
          <w:p w14:paraId="3C2C4098" w14:textId="77777777" w:rsidR="00FD5ADD" w:rsidRPr="00FD5ADD" w:rsidRDefault="00FD5ADD" w:rsidP="00FD5ADD">
            <w:pPr>
              <w:jc w:val="right"/>
              <w:rPr>
                <w:lang w:val="en-GB"/>
              </w:rPr>
            </w:pPr>
            <w:r w:rsidRPr="00FD5ADD">
              <w:rPr>
                <w:lang w:val="en-GB"/>
              </w:rPr>
              <w:t>79</w:t>
            </w:r>
          </w:p>
        </w:tc>
        <w:tc>
          <w:tcPr>
            <w:tcW w:w="559" w:type="pct"/>
            <w:noWrap/>
            <w:vAlign w:val="center"/>
            <w:hideMark/>
          </w:tcPr>
          <w:p w14:paraId="08B6CC9B" w14:textId="77777777" w:rsidR="00FD5ADD" w:rsidRPr="00FD5ADD" w:rsidRDefault="00FD5ADD" w:rsidP="00FD5ADD">
            <w:pPr>
              <w:jc w:val="right"/>
              <w:rPr>
                <w:lang w:val="en-GB"/>
              </w:rPr>
            </w:pPr>
            <w:r w:rsidRPr="00FD5ADD">
              <w:rPr>
                <w:lang w:val="en-GB"/>
              </w:rPr>
              <w:t>0.02</w:t>
            </w:r>
          </w:p>
        </w:tc>
      </w:tr>
      <w:tr w:rsidR="00FD5ADD" w:rsidRPr="00FD5ADD" w14:paraId="158B1337" w14:textId="77777777" w:rsidTr="00F35B58">
        <w:trPr>
          <w:trHeight w:val="20"/>
        </w:trPr>
        <w:tc>
          <w:tcPr>
            <w:tcW w:w="1425" w:type="pct"/>
            <w:noWrap/>
            <w:hideMark/>
          </w:tcPr>
          <w:p w14:paraId="4DAD6880" w14:textId="77777777" w:rsidR="00FD5ADD" w:rsidRPr="00FD5ADD" w:rsidRDefault="00FD5ADD" w:rsidP="00FD5ADD">
            <w:pPr>
              <w:rPr>
                <w:lang w:val="en-GB"/>
              </w:rPr>
            </w:pPr>
            <w:r w:rsidRPr="00FD5ADD">
              <w:rPr>
                <w:lang w:val="en-GB"/>
              </w:rPr>
              <w:t xml:space="preserve">Losses (not harvested) </w:t>
            </w:r>
          </w:p>
        </w:tc>
        <w:tc>
          <w:tcPr>
            <w:tcW w:w="754" w:type="pct"/>
            <w:noWrap/>
            <w:vAlign w:val="center"/>
            <w:hideMark/>
          </w:tcPr>
          <w:p w14:paraId="108ED18B" w14:textId="77777777" w:rsidR="00FD5ADD" w:rsidRPr="00FD5ADD" w:rsidRDefault="00FD5ADD" w:rsidP="00FD5ADD">
            <w:pPr>
              <w:jc w:val="right"/>
              <w:rPr>
                <w:lang w:val="en-GB"/>
              </w:rPr>
            </w:pPr>
            <w:r w:rsidRPr="00FD5ADD">
              <w:rPr>
                <w:lang w:val="en-GB"/>
              </w:rPr>
              <w:t>-1.02</w:t>
            </w:r>
          </w:p>
        </w:tc>
        <w:tc>
          <w:tcPr>
            <w:tcW w:w="559" w:type="pct"/>
            <w:noWrap/>
            <w:vAlign w:val="center"/>
            <w:hideMark/>
          </w:tcPr>
          <w:p w14:paraId="52096935" w14:textId="77777777" w:rsidR="00FD5ADD" w:rsidRPr="00FD5ADD" w:rsidRDefault="00FD5ADD" w:rsidP="00FD5ADD">
            <w:pPr>
              <w:jc w:val="right"/>
              <w:rPr>
                <w:lang w:val="en-GB"/>
              </w:rPr>
            </w:pPr>
            <w:r w:rsidRPr="00FD5ADD">
              <w:rPr>
                <w:lang w:val="en-GB"/>
              </w:rPr>
              <w:t>-2.66</w:t>
            </w:r>
          </w:p>
        </w:tc>
        <w:tc>
          <w:tcPr>
            <w:tcW w:w="587" w:type="pct"/>
            <w:gridSpan w:val="2"/>
            <w:noWrap/>
            <w:vAlign w:val="center"/>
            <w:hideMark/>
          </w:tcPr>
          <w:p w14:paraId="4E15FA6F" w14:textId="77777777" w:rsidR="00FD5ADD" w:rsidRPr="00FD5ADD" w:rsidRDefault="00FD5ADD" w:rsidP="00FD5ADD">
            <w:pPr>
              <w:jc w:val="right"/>
              <w:rPr>
                <w:lang w:val="en-GB"/>
              </w:rPr>
            </w:pPr>
            <w:r w:rsidRPr="00FD5ADD">
              <w:rPr>
                <w:lang w:val="en-GB"/>
              </w:rPr>
              <w:t>0.61</w:t>
            </w:r>
          </w:p>
        </w:tc>
        <w:tc>
          <w:tcPr>
            <w:tcW w:w="559" w:type="pct"/>
            <w:noWrap/>
            <w:vAlign w:val="center"/>
            <w:hideMark/>
          </w:tcPr>
          <w:p w14:paraId="3C35488B" w14:textId="77777777" w:rsidR="00FD5ADD" w:rsidRPr="00FD5ADD" w:rsidRDefault="00FD5ADD" w:rsidP="00FD5ADD">
            <w:pPr>
              <w:jc w:val="right"/>
              <w:rPr>
                <w:lang w:val="en-GB"/>
              </w:rPr>
            </w:pPr>
            <w:r w:rsidRPr="00FD5ADD">
              <w:rPr>
                <w:lang w:val="en-GB"/>
              </w:rPr>
              <w:t>-1.26</w:t>
            </w:r>
          </w:p>
        </w:tc>
        <w:tc>
          <w:tcPr>
            <w:tcW w:w="559" w:type="pct"/>
            <w:noWrap/>
            <w:vAlign w:val="center"/>
            <w:hideMark/>
          </w:tcPr>
          <w:p w14:paraId="632CDCA1" w14:textId="77777777" w:rsidR="00FD5ADD" w:rsidRPr="00FD5ADD" w:rsidRDefault="00FD5ADD" w:rsidP="00FD5ADD">
            <w:pPr>
              <w:jc w:val="right"/>
              <w:rPr>
                <w:lang w:val="en-GB"/>
              </w:rPr>
            </w:pPr>
            <w:r w:rsidRPr="00FD5ADD">
              <w:rPr>
                <w:lang w:val="en-GB"/>
              </w:rPr>
              <w:t>43</w:t>
            </w:r>
          </w:p>
        </w:tc>
        <w:tc>
          <w:tcPr>
            <w:tcW w:w="559" w:type="pct"/>
            <w:noWrap/>
            <w:vAlign w:val="center"/>
            <w:hideMark/>
          </w:tcPr>
          <w:p w14:paraId="4B18E80D" w14:textId="77777777" w:rsidR="00FD5ADD" w:rsidRPr="00FD5ADD" w:rsidRDefault="00FD5ADD" w:rsidP="00FD5ADD">
            <w:pPr>
              <w:jc w:val="right"/>
              <w:rPr>
                <w:lang w:val="en-GB"/>
              </w:rPr>
            </w:pPr>
            <w:r w:rsidRPr="00FD5ADD">
              <w:rPr>
                <w:lang w:val="en-GB"/>
              </w:rPr>
              <w:t>0.21</w:t>
            </w:r>
          </w:p>
        </w:tc>
      </w:tr>
      <w:tr w:rsidR="00FD5ADD" w:rsidRPr="00FD5ADD" w14:paraId="33640AA1" w14:textId="77777777" w:rsidTr="00F35B58">
        <w:trPr>
          <w:trHeight w:val="20"/>
        </w:trPr>
        <w:tc>
          <w:tcPr>
            <w:tcW w:w="1425" w:type="pct"/>
            <w:tcBorders>
              <w:bottom w:val="single" w:sz="12" w:space="0" w:color="auto"/>
            </w:tcBorders>
            <w:noWrap/>
            <w:hideMark/>
          </w:tcPr>
          <w:p w14:paraId="136CEC51" w14:textId="77777777" w:rsidR="00FD5ADD" w:rsidRPr="00FD5ADD" w:rsidRDefault="00FD5ADD" w:rsidP="00FD5ADD">
            <w:pPr>
              <w:rPr>
                <w:lang w:val="en-GB"/>
              </w:rPr>
            </w:pPr>
            <w:r w:rsidRPr="00FD5ADD">
              <w:rPr>
                <w:lang w:val="en-GB"/>
              </w:rPr>
              <w:t xml:space="preserve">Post-Harvest Losses </w:t>
            </w:r>
          </w:p>
        </w:tc>
        <w:tc>
          <w:tcPr>
            <w:tcW w:w="754" w:type="pct"/>
            <w:tcBorders>
              <w:bottom w:val="single" w:sz="12" w:space="0" w:color="auto"/>
            </w:tcBorders>
            <w:noWrap/>
            <w:vAlign w:val="center"/>
            <w:hideMark/>
          </w:tcPr>
          <w:p w14:paraId="54B28FE7" w14:textId="77777777" w:rsidR="00FD5ADD" w:rsidRPr="00FD5ADD" w:rsidRDefault="00FD5ADD" w:rsidP="00FD5ADD">
            <w:pPr>
              <w:jc w:val="right"/>
              <w:rPr>
                <w:lang w:val="en-GB"/>
              </w:rPr>
            </w:pPr>
            <w:r w:rsidRPr="00FD5ADD">
              <w:rPr>
                <w:lang w:val="en-GB"/>
              </w:rPr>
              <w:t>-10.80</w:t>
            </w:r>
          </w:p>
        </w:tc>
        <w:tc>
          <w:tcPr>
            <w:tcW w:w="559" w:type="pct"/>
            <w:tcBorders>
              <w:bottom w:val="single" w:sz="12" w:space="0" w:color="auto"/>
            </w:tcBorders>
            <w:noWrap/>
            <w:vAlign w:val="center"/>
            <w:hideMark/>
          </w:tcPr>
          <w:p w14:paraId="61477EC3" w14:textId="77777777" w:rsidR="00FD5ADD" w:rsidRPr="00FD5ADD" w:rsidRDefault="00FD5ADD" w:rsidP="00FD5ADD">
            <w:pPr>
              <w:jc w:val="right"/>
              <w:rPr>
                <w:lang w:val="en-GB"/>
              </w:rPr>
            </w:pPr>
            <w:r w:rsidRPr="00FD5ADD">
              <w:rPr>
                <w:lang w:val="en-GB"/>
              </w:rPr>
              <w:t>-16.46</w:t>
            </w:r>
          </w:p>
        </w:tc>
        <w:tc>
          <w:tcPr>
            <w:tcW w:w="587" w:type="pct"/>
            <w:gridSpan w:val="2"/>
            <w:tcBorders>
              <w:bottom w:val="single" w:sz="12" w:space="0" w:color="auto"/>
            </w:tcBorders>
            <w:noWrap/>
            <w:vAlign w:val="center"/>
            <w:hideMark/>
          </w:tcPr>
          <w:p w14:paraId="0ED6E39F" w14:textId="77777777" w:rsidR="00FD5ADD" w:rsidRPr="00FD5ADD" w:rsidRDefault="00FD5ADD" w:rsidP="00FD5ADD">
            <w:pPr>
              <w:jc w:val="right"/>
              <w:rPr>
                <w:lang w:val="en-GB"/>
              </w:rPr>
            </w:pPr>
            <w:r w:rsidRPr="00FD5ADD">
              <w:rPr>
                <w:lang w:val="en-GB"/>
              </w:rPr>
              <w:t>-5.14</w:t>
            </w:r>
          </w:p>
        </w:tc>
        <w:tc>
          <w:tcPr>
            <w:tcW w:w="559" w:type="pct"/>
            <w:tcBorders>
              <w:bottom w:val="single" w:sz="12" w:space="0" w:color="auto"/>
            </w:tcBorders>
            <w:noWrap/>
            <w:vAlign w:val="center"/>
            <w:hideMark/>
          </w:tcPr>
          <w:p w14:paraId="64E70A00" w14:textId="77777777" w:rsidR="00FD5ADD" w:rsidRPr="00FD5ADD" w:rsidRDefault="00FD5ADD" w:rsidP="00FD5ADD">
            <w:pPr>
              <w:jc w:val="right"/>
              <w:rPr>
                <w:lang w:val="en-GB"/>
              </w:rPr>
            </w:pPr>
            <w:r w:rsidRPr="00FD5ADD">
              <w:rPr>
                <w:lang w:val="en-GB"/>
              </w:rPr>
              <w:t>-3.83</w:t>
            </w:r>
          </w:p>
        </w:tc>
        <w:tc>
          <w:tcPr>
            <w:tcW w:w="559" w:type="pct"/>
            <w:tcBorders>
              <w:bottom w:val="single" w:sz="12" w:space="0" w:color="auto"/>
            </w:tcBorders>
            <w:noWrap/>
            <w:vAlign w:val="center"/>
            <w:hideMark/>
          </w:tcPr>
          <w:p w14:paraId="0E778788" w14:textId="77777777" w:rsidR="00FD5ADD" w:rsidRPr="00FD5ADD" w:rsidRDefault="00FD5ADD" w:rsidP="00FD5ADD">
            <w:pPr>
              <w:jc w:val="right"/>
              <w:rPr>
                <w:lang w:val="en-GB"/>
              </w:rPr>
            </w:pPr>
            <w:r w:rsidRPr="00FD5ADD">
              <w:rPr>
                <w:lang w:val="en-GB"/>
              </w:rPr>
              <w:t>55</w:t>
            </w:r>
          </w:p>
        </w:tc>
        <w:tc>
          <w:tcPr>
            <w:tcW w:w="559" w:type="pct"/>
            <w:tcBorders>
              <w:bottom w:val="single" w:sz="12" w:space="0" w:color="auto"/>
            </w:tcBorders>
            <w:noWrap/>
            <w:vAlign w:val="center"/>
            <w:hideMark/>
          </w:tcPr>
          <w:p w14:paraId="1A97249B" w14:textId="77777777" w:rsidR="00FD5ADD" w:rsidRPr="00FD5ADD" w:rsidRDefault="00FD5ADD" w:rsidP="00FD5ADD">
            <w:pPr>
              <w:jc w:val="right"/>
              <w:rPr>
                <w:lang w:val="en-GB"/>
              </w:rPr>
            </w:pPr>
            <w:r w:rsidRPr="00FD5ADD">
              <w:rPr>
                <w:lang w:val="en-GB"/>
              </w:rPr>
              <w:t>0.00</w:t>
            </w:r>
          </w:p>
        </w:tc>
      </w:tr>
    </w:tbl>
    <w:p w14:paraId="1FF87E6F" w14:textId="77777777" w:rsidR="00FD5ADD" w:rsidRPr="00FD5ADD" w:rsidRDefault="00FD5ADD" w:rsidP="005D0391">
      <w:pPr>
        <w:rPr>
          <w:rFonts w:ascii="Times New Roman" w:hAnsi="Times New Roman" w:cs="Times New Roman"/>
          <w:sz w:val="20"/>
          <w:szCs w:val="18"/>
          <w:lang w:val="en-GB"/>
        </w:rPr>
      </w:pPr>
      <w:r w:rsidRPr="00FD5ADD">
        <w:rPr>
          <w:rFonts w:ascii="Times New Roman" w:hAnsi="Times New Roman" w:cs="Times New Roman"/>
          <w:sz w:val="20"/>
          <w:szCs w:val="18"/>
          <w:lang w:val="en-GB"/>
        </w:rPr>
        <w:t>Source: Authors based on farm structured survey</w:t>
      </w:r>
    </w:p>
    <w:p w14:paraId="1B1727CB"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lastRenderedPageBreak/>
        <w:t xml:space="preserve">As highlighted above, the sold quantities were lower during 2020, thereby postharvest losses higher, due to difficulty to sell. The farm survey results show that 31.4% of the farmers have found it more difficult to sell during 2020 when compared to the previous 3 years and 25.6% much more difficult (Table 24). </w:t>
      </w:r>
    </w:p>
    <w:p w14:paraId="625E4473" w14:textId="77777777" w:rsidR="00FD5ADD" w:rsidRPr="00FD5ADD" w:rsidRDefault="00FD5ADD" w:rsidP="005D0391">
      <w:pPr>
        <w:spacing w:before="120" w:after="0" w:line="276" w:lineRule="auto"/>
        <w:rPr>
          <w:rFonts w:ascii="Times New Roman" w:eastAsia="Times New Roman" w:hAnsi="Times New Roman" w:cs="Times New Roman"/>
          <w:bCs/>
          <w:sz w:val="24"/>
          <w:szCs w:val="24"/>
          <w:lang w:val="en-GB"/>
        </w:rPr>
      </w:pPr>
      <w:bookmarkStart w:id="17" w:name="_Toc67965033"/>
      <w:bookmarkStart w:id="18" w:name="_Toc71976469"/>
      <w:r w:rsidRPr="00FD5ADD">
        <w:rPr>
          <w:rFonts w:ascii="Times New Roman" w:eastAsia="Times New Roman" w:hAnsi="Times New Roman" w:cs="Times New Roman"/>
          <w:bCs/>
          <w:sz w:val="24"/>
          <w:szCs w:val="24"/>
          <w:lang w:val="en-GB"/>
        </w:rPr>
        <w:t xml:space="preserve">Table </w:t>
      </w:r>
      <w:r w:rsidRPr="00FD5ADD">
        <w:rPr>
          <w:rFonts w:ascii="Times New Roman" w:eastAsia="Times New Roman" w:hAnsi="Times New Roman" w:cs="Times New Roman"/>
          <w:bCs/>
          <w:sz w:val="24"/>
          <w:szCs w:val="24"/>
          <w:lang w:val="en-GB"/>
        </w:rPr>
        <w:fldChar w:fldCharType="begin"/>
      </w:r>
      <w:r w:rsidRPr="00FD5ADD">
        <w:rPr>
          <w:rFonts w:ascii="Times New Roman" w:eastAsia="Times New Roman" w:hAnsi="Times New Roman" w:cs="Times New Roman"/>
          <w:bCs/>
          <w:sz w:val="24"/>
          <w:szCs w:val="24"/>
          <w:lang w:val="en-GB"/>
        </w:rPr>
        <w:instrText xml:space="preserve"> SEQ Table \* ARABIC </w:instrText>
      </w:r>
      <w:r w:rsidRPr="00FD5ADD">
        <w:rPr>
          <w:rFonts w:ascii="Times New Roman" w:eastAsia="Times New Roman" w:hAnsi="Times New Roman" w:cs="Times New Roman"/>
          <w:bCs/>
          <w:sz w:val="24"/>
          <w:szCs w:val="24"/>
          <w:lang w:val="en-GB"/>
        </w:rPr>
        <w:fldChar w:fldCharType="separate"/>
      </w:r>
      <w:r w:rsidRPr="00FD5ADD">
        <w:rPr>
          <w:rFonts w:ascii="Times New Roman" w:eastAsia="Times New Roman" w:hAnsi="Times New Roman" w:cs="Times New Roman"/>
          <w:bCs/>
          <w:noProof/>
          <w:sz w:val="24"/>
          <w:szCs w:val="24"/>
          <w:lang w:val="en-GB"/>
        </w:rPr>
        <w:t>4</w:t>
      </w:r>
      <w:r w:rsidRPr="00FD5ADD">
        <w:rPr>
          <w:rFonts w:ascii="Times New Roman" w:eastAsia="Times New Roman" w:hAnsi="Times New Roman" w:cs="Times New Roman"/>
          <w:bCs/>
          <w:noProof/>
          <w:sz w:val="24"/>
          <w:szCs w:val="24"/>
          <w:lang w:val="en-GB"/>
        </w:rPr>
        <w:fldChar w:fldCharType="end"/>
      </w:r>
      <w:r w:rsidRPr="00FD5ADD">
        <w:rPr>
          <w:rFonts w:ascii="Times New Roman" w:eastAsia="Times New Roman" w:hAnsi="Times New Roman" w:cs="Times New Roman"/>
          <w:bCs/>
          <w:sz w:val="24"/>
          <w:szCs w:val="24"/>
          <w:lang w:val="en-GB"/>
        </w:rPr>
        <w:t>: Perception of Covid-19 impact on sales – Tomatoes</w:t>
      </w:r>
      <w:bookmarkEnd w:id="17"/>
      <w:bookmarkEnd w:id="18"/>
    </w:p>
    <w:tbl>
      <w:tblPr>
        <w:tblStyle w:val="15"/>
        <w:tblW w:w="0" w:type="auto"/>
        <w:tblLook w:val="04A0" w:firstRow="1" w:lastRow="0" w:firstColumn="1" w:lastColumn="0" w:noHBand="0" w:noVBand="1"/>
      </w:tblPr>
      <w:tblGrid>
        <w:gridCol w:w="4949"/>
        <w:gridCol w:w="883"/>
        <w:gridCol w:w="882"/>
        <w:gridCol w:w="882"/>
        <w:gridCol w:w="882"/>
        <w:gridCol w:w="882"/>
      </w:tblGrid>
      <w:tr w:rsidR="00FD5ADD" w:rsidRPr="00FD5ADD" w14:paraId="16722147" w14:textId="77777777" w:rsidTr="00F35B58">
        <w:trPr>
          <w:cnfStyle w:val="100000000000" w:firstRow="1" w:lastRow="0" w:firstColumn="0" w:lastColumn="0" w:oddVBand="0" w:evenVBand="0" w:oddHBand="0" w:evenHBand="0" w:firstRowFirstColumn="0" w:firstRowLastColumn="0" w:lastRowFirstColumn="0" w:lastRowLastColumn="0"/>
          <w:trHeight w:val="20"/>
        </w:trPr>
        <w:tc>
          <w:tcPr>
            <w:tcW w:w="5500" w:type="dxa"/>
            <w:noWrap/>
            <w:hideMark/>
          </w:tcPr>
          <w:p w14:paraId="5574E856" w14:textId="77777777" w:rsidR="00FD5ADD" w:rsidRPr="00FD5ADD" w:rsidRDefault="00FD5ADD" w:rsidP="00FD5ADD">
            <w:pPr>
              <w:rPr>
                <w:b/>
                <w:bCs/>
                <w:lang w:val="en-GB"/>
              </w:rPr>
            </w:pPr>
            <w:r w:rsidRPr="00FD5ADD">
              <w:rPr>
                <w:b/>
                <w:bCs/>
                <w:lang w:val="en-GB"/>
              </w:rPr>
              <w:t>Measurement scale</w:t>
            </w:r>
          </w:p>
        </w:tc>
        <w:tc>
          <w:tcPr>
            <w:tcW w:w="960" w:type="dxa"/>
            <w:noWrap/>
            <w:hideMark/>
          </w:tcPr>
          <w:p w14:paraId="01020F0D" w14:textId="77777777" w:rsidR="00FD5ADD" w:rsidRPr="00FD5ADD" w:rsidRDefault="00FD5ADD" w:rsidP="00FD5ADD">
            <w:pPr>
              <w:jc w:val="center"/>
              <w:rPr>
                <w:b/>
                <w:bCs/>
                <w:lang w:val="en-GB"/>
              </w:rPr>
            </w:pPr>
            <w:r w:rsidRPr="00FD5ADD">
              <w:rPr>
                <w:b/>
                <w:bCs/>
                <w:lang w:val="en-GB"/>
              </w:rPr>
              <w:t>1</w:t>
            </w:r>
          </w:p>
        </w:tc>
        <w:tc>
          <w:tcPr>
            <w:tcW w:w="960" w:type="dxa"/>
            <w:noWrap/>
            <w:hideMark/>
          </w:tcPr>
          <w:p w14:paraId="4708171A" w14:textId="77777777" w:rsidR="00FD5ADD" w:rsidRPr="00FD5ADD" w:rsidRDefault="00FD5ADD" w:rsidP="00FD5ADD">
            <w:pPr>
              <w:jc w:val="center"/>
              <w:rPr>
                <w:b/>
                <w:bCs/>
                <w:lang w:val="en-GB"/>
              </w:rPr>
            </w:pPr>
            <w:r w:rsidRPr="00FD5ADD">
              <w:rPr>
                <w:b/>
                <w:bCs/>
                <w:lang w:val="en-GB"/>
              </w:rPr>
              <w:t>2</w:t>
            </w:r>
          </w:p>
        </w:tc>
        <w:tc>
          <w:tcPr>
            <w:tcW w:w="960" w:type="dxa"/>
            <w:noWrap/>
            <w:hideMark/>
          </w:tcPr>
          <w:p w14:paraId="1C6B0ED3" w14:textId="77777777" w:rsidR="00FD5ADD" w:rsidRPr="00FD5ADD" w:rsidRDefault="00FD5ADD" w:rsidP="00FD5ADD">
            <w:pPr>
              <w:jc w:val="center"/>
              <w:rPr>
                <w:b/>
                <w:bCs/>
                <w:lang w:val="en-GB"/>
              </w:rPr>
            </w:pPr>
            <w:r w:rsidRPr="00FD5ADD">
              <w:rPr>
                <w:b/>
                <w:bCs/>
                <w:lang w:val="en-GB"/>
              </w:rPr>
              <w:t>3</w:t>
            </w:r>
          </w:p>
        </w:tc>
        <w:tc>
          <w:tcPr>
            <w:tcW w:w="960" w:type="dxa"/>
            <w:noWrap/>
            <w:hideMark/>
          </w:tcPr>
          <w:p w14:paraId="52247371" w14:textId="77777777" w:rsidR="00FD5ADD" w:rsidRPr="00FD5ADD" w:rsidRDefault="00FD5ADD" w:rsidP="00FD5ADD">
            <w:pPr>
              <w:jc w:val="center"/>
              <w:rPr>
                <w:b/>
                <w:bCs/>
                <w:lang w:val="en-GB"/>
              </w:rPr>
            </w:pPr>
            <w:r w:rsidRPr="00FD5ADD">
              <w:rPr>
                <w:b/>
                <w:bCs/>
                <w:lang w:val="en-GB"/>
              </w:rPr>
              <w:t>4</w:t>
            </w:r>
          </w:p>
        </w:tc>
        <w:tc>
          <w:tcPr>
            <w:tcW w:w="960" w:type="dxa"/>
            <w:noWrap/>
            <w:hideMark/>
          </w:tcPr>
          <w:p w14:paraId="5B6D9821" w14:textId="77777777" w:rsidR="00FD5ADD" w:rsidRPr="00FD5ADD" w:rsidRDefault="00FD5ADD" w:rsidP="00FD5ADD">
            <w:pPr>
              <w:jc w:val="center"/>
              <w:rPr>
                <w:b/>
                <w:bCs/>
                <w:lang w:val="en-GB"/>
              </w:rPr>
            </w:pPr>
            <w:r w:rsidRPr="00FD5ADD">
              <w:rPr>
                <w:b/>
                <w:bCs/>
                <w:lang w:val="en-GB"/>
              </w:rPr>
              <w:t>5</w:t>
            </w:r>
          </w:p>
        </w:tc>
      </w:tr>
      <w:tr w:rsidR="00FD5ADD" w:rsidRPr="00FD5ADD" w14:paraId="7E8D7CFD" w14:textId="77777777" w:rsidTr="00F35B58">
        <w:trPr>
          <w:trHeight w:val="20"/>
        </w:trPr>
        <w:tc>
          <w:tcPr>
            <w:tcW w:w="5500" w:type="dxa"/>
            <w:noWrap/>
            <w:hideMark/>
          </w:tcPr>
          <w:p w14:paraId="33735ADD" w14:textId="77777777" w:rsidR="00FD5ADD" w:rsidRPr="00FD5ADD" w:rsidRDefault="00FD5ADD" w:rsidP="00FD5ADD">
            <w:pPr>
              <w:rPr>
                <w:lang w:val="en-GB"/>
              </w:rPr>
            </w:pPr>
            <w:r w:rsidRPr="00FD5ADD">
              <w:rPr>
                <w:lang w:val="en-GB"/>
              </w:rPr>
              <w:t>Product Sales in 2020 VS last 3 years</w:t>
            </w:r>
          </w:p>
        </w:tc>
        <w:tc>
          <w:tcPr>
            <w:tcW w:w="960" w:type="dxa"/>
            <w:noWrap/>
            <w:hideMark/>
          </w:tcPr>
          <w:p w14:paraId="6B71A15B" w14:textId="77777777" w:rsidR="00FD5ADD" w:rsidRPr="00FD5ADD" w:rsidRDefault="00FD5ADD" w:rsidP="00FD5ADD">
            <w:pPr>
              <w:jc w:val="center"/>
              <w:rPr>
                <w:lang w:val="en-GB"/>
              </w:rPr>
            </w:pPr>
            <w:r w:rsidRPr="00FD5ADD">
              <w:rPr>
                <w:lang w:val="en-GB"/>
              </w:rPr>
              <w:t>8</w:t>
            </w:r>
          </w:p>
        </w:tc>
        <w:tc>
          <w:tcPr>
            <w:tcW w:w="960" w:type="dxa"/>
            <w:noWrap/>
            <w:hideMark/>
          </w:tcPr>
          <w:p w14:paraId="01480E6F" w14:textId="77777777" w:rsidR="00FD5ADD" w:rsidRPr="00FD5ADD" w:rsidRDefault="00FD5ADD" w:rsidP="00FD5ADD">
            <w:pPr>
              <w:jc w:val="center"/>
              <w:rPr>
                <w:lang w:val="en-GB"/>
              </w:rPr>
            </w:pPr>
            <w:r w:rsidRPr="00FD5ADD">
              <w:rPr>
                <w:lang w:val="en-GB"/>
              </w:rPr>
              <w:t>39</w:t>
            </w:r>
          </w:p>
        </w:tc>
        <w:tc>
          <w:tcPr>
            <w:tcW w:w="960" w:type="dxa"/>
            <w:noWrap/>
            <w:hideMark/>
          </w:tcPr>
          <w:p w14:paraId="445E5ADE" w14:textId="77777777" w:rsidR="00FD5ADD" w:rsidRPr="00FD5ADD" w:rsidRDefault="00FD5ADD" w:rsidP="00FD5ADD">
            <w:pPr>
              <w:jc w:val="center"/>
              <w:rPr>
                <w:lang w:val="en-GB"/>
              </w:rPr>
            </w:pPr>
            <w:r w:rsidRPr="00FD5ADD">
              <w:rPr>
                <w:lang w:val="en-GB"/>
              </w:rPr>
              <w:t>26</w:t>
            </w:r>
          </w:p>
        </w:tc>
        <w:tc>
          <w:tcPr>
            <w:tcW w:w="960" w:type="dxa"/>
            <w:noWrap/>
            <w:hideMark/>
          </w:tcPr>
          <w:p w14:paraId="72D0C65F" w14:textId="77777777" w:rsidR="00FD5ADD" w:rsidRPr="00FD5ADD" w:rsidRDefault="00FD5ADD" w:rsidP="00FD5ADD">
            <w:pPr>
              <w:jc w:val="center"/>
              <w:rPr>
                <w:lang w:val="en-GB"/>
              </w:rPr>
            </w:pPr>
            <w:r w:rsidRPr="00FD5ADD">
              <w:rPr>
                <w:lang w:val="en-GB"/>
              </w:rPr>
              <w:t>13</w:t>
            </w:r>
          </w:p>
        </w:tc>
        <w:tc>
          <w:tcPr>
            <w:tcW w:w="960" w:type="dxa"/>
            <w:noWrap/>
            <w:hideMark/>
          </w:tcPr>
          <w:p w14:paraId="4E571A01" w14:textId="77777777" w:rsidR="00FD5ADD" w:rsidRPr="00FD5ADD" w:rsidRDefault="00FD5ADD" w:rsidP="00FD5ADD">
            <w:pPr>
              <w:jc w:val="center"/>
              <w:rPr>
                <w:lang w:val="en-GB"/>
              </w:rPr>
            </w:pPr>
            <w:r w:rsidRPr="00FD5ADD">
              <w:rPr>
                <w:lang w:val="en-GB"/>
              </w:rPr>
              <w:t>0</w:t>
            </w:r>
          </w:p>
        </w:tc>
      </w:tr>
      <w:tr w:rsidR="00FD5ADD" w:rsidRPr="00FD5ADD" w14:paraId="1966627D" w14:textId="77777777" w:rsidTr="00F35B58">
        <w:trPr>
          <w:trHeight w:val="20"/>
        </w:trPr>
        <w:tc>
          <w:tcPr>
            <w:tcW w:w="5500" w:type="dxa"/>
            <w:noWrap/>
            <w:hideMark/>
          </w:tcPr>
          <w:p w14:paraId="1500F3F1" w14:textId="77777777" w:rsidR="00FD5ADD" w:rsidRPr="00FD5ADD" w:rsidRDefault="00FD5ADD" w:rsidP="00FD5ADD">
            <w:pPr>
              <w:rPr>
                <w:lang w:val="en-GB"/>
              </w:rPr>
            </w:pPr>
            <w:r w:rsidRPr="00FD5ADD">
              <w:rPr>
                <w:lang w:val="en-GB"/>
              </w:rPr>
              <w:t>Product Sales - Share of total</w:t>
            </w:r>
          </w:p>
        </w:tc>
        <w:tc>
          <w:tcPr>
            <w:tcW w:w="960" w:type="dxa"/>
            <w:noWrap/>
            <w:hideMark/>
          </w:tcPr>
          <w:p w14:paraId="609B2C1B" w14:textId="77777777" w:rsidR="00FD5ADD" w:rsidRPr="00FD5ADD" w:rsidRDefault="00FD5ADD" w:rsidP="00FD5ADD">
            <w:pPr>
              <w:jc w:val="center"/>
              <w:rPr>
                <w:lang w:val="en-GB"/>
              </w:rPr>
            </w:pPr>
            <w:r w:rsidRPr="00FD5ADD">
              <w:rPr>
                <w:lang w:val="en-GB"/>
              </w:rPr>
              <w:t>9.3%</w:t>
            </w:r>
          </w:p>
        </w:tc>
        <w:tc>
          <w:tcPr>
            <w:tcW w:w="960" w:type="dxa"/>
            <w:noWrap/>
            <w:hideMark/>
          </w:tcPr>
          <w:p w14:paraId="3BF7F38E" w14:textId="77777777" w:rsidR="00FD5ADD" w:rsidRPr="00FD5ADD" w:rsidRDefault="00FD5ADD" w:rsidP="00FD5ADD">
            <w:pPr>
              <w:jc w:val="center"/>
              <w:rPr>
                <w:lang w:val="en-GB"/>
              </w:rPr>
            </w:pPr>
            <w:r w:rsidRPr="00FD5ADD">
              <w:rPr>
                <w:lang w:val="en-GB"/>
              </w:rPr>
              <w:t>45.3%</w:t>
            </w:r>
          </w:p>
        </w:tc>
        <w:tc>
          <w:tcPr>
            <w:tcW w:w="960" w:type="dxa"/>
            <w:noWrap/>
            <w:hideMark/>
          </w:tcPr>
          <w:p w14:paraId="32477012" w14:textId="77777777" w:rsidR="00FD5ADD" w:rsidRPr="00FD5ADD" w:rsidRDefault="00FD5ADD" w:rsidP="00FD5ADD">
            <w:pPr>
              <w:jc w:val="center"/>
              <w:rPr>
                <w:lang w:val="en-GB"/>
              </w:rPr>
            </w:pPr>
            <w:r w:rsidRPr="00FD5ADD">
              <w:rPr>
                <w:lang w:val="en-GB"/>
              </w:rPr>
              <w:t>30.2%</w:t>
            </w:r>
          </w:p>
        </w:tc>
        <w:tc>
          <w:tcPr>
            <w:tcW w:w="960" w:type="dxa"/>
            <w:noWrap/>
            <w:hideMark/>
          </w:tcPr>
          <w:p w14:paraId="79A32213" w14:textId="77777777" w:rsidR="00FD5ADD" w:rsidRPr="00FD5ADD" w:rsidRDefault="00FD5ADD" w:rsidP="00FD5ADD">
            <w:pPr>
              <w:jc w:val="center"/>
              <w:rPr>
                <w:lang w:val="en-GB"/>
              </w:rPr>
            </w:pPr>
            <w:r w:rsidRPr="00FD5ADD">
              <w:rPr>
                <w:lang w:val="en-GB"/>
              </w:rPr>
              <w:t>15.1%</w:t>
            </w:r>
          </w:p>
        </w:tc>
        <w:tc>
          <w:tcPr>
            <w:tcW w:w="960" w:type="dxa"/>
            <w:noWrap/>
            <w:hideMark/>
          </w:tcPr>
          <w:p w14:paraId="025F344F" w14:textId="77777777" w:rsidR="00FD5ADD" w:rsidRPr="00FD5ADD" w:rsidRDefault="00FD5ADD" w:rsidP="00FD5ADD">
            <w:pPr>
              <w:jc w:val="center"/>
              <w:rPr>
                <w:lang w:val="en-GB"/>
              </w:rPr>
            </w:pPr>
            <w:r w:rsidRPr="00FD5ADD">
              <w:rPr>
                <w:lang w:val="en-GB"/>
              </w:rPr>
              <w:t>0.0%</w:t>
            </w:r>
          </w:p>
        </w:tc>
      </w:tr>
      <w:tr w:rsidR="00FD5ADD" w:rsidRPr="00FD5ADD" w14:paraId="6BEBF65E" w14:textId="77777777" w:rsidTr="00F35B58">
        <w:trPr>
          <w:trHeight w:val="20"/>
        </w:trPr>
        <w:tc>
          <w:tcPr>
            <w:tcW w:w="5500" w:type="dxa"/>
            <w:noWrap/>
            <w:hideMark/>
          </w:tcPr>
          <w:p w14:paraId="07DD1A33" w14:textId="77777777" w:rsidR="00FD5ADD" w:rsidRPr="00FD5ADD" w:rsidRDefault="00FD5ADD" w:rsidP="00FD5ADD">
            <w:pPr>
              <w:rPr>
                <w:lang w:val="en-GB"/>
              </w:rPr>
            </w:pPr>
            <w:r w:rsidRPr="00FD5ADD">
              <w:rPr>
                <w:lang w:val="en-GB"/>
              </w:rPr>
              <w:t>Number of Buyers in 2020 VS last 3 years</w:t>
            </w:r>
          </w:p>
        </w:tc>
        <w:tc>
          <w:tcPr>
            <w:tcW w:w="960" w:type="dxa"/>
            <w:noWrap/>
            <w:hideMark/>
          </w:tcPr>
          <w:p w14:paraId="4842D744" w14:textId="77777777" w:rsidR="00FD5ADD" w:rsidRPr="00FD5ADD" w:rsidRDefault="00FD5ADD" w:rsidP="00FD5ADD">
            <w:pPr>
              <w:jc w:val="center"/>
              <w:rPr>
                <w:lang w:val="en-GB"/>
              </w:rPr>
            </w:pPr>
            <w:r w:rsidRPr="00FD5ADD">
              <w:rPr>
                <w:lang w:val="en-GB"/>
              </w:rPr>
              <w:t>3</w:t>
            </w:r>
          </w:p>
        </w:tc>
        <w:tc>
          <w:tcPr>
            <w:tcW w:w="960" w:type="dxa"/>
            <w:noWrap/>
            <w:hideMark/>
          </w:tcPr>
          <w:p w14:paraId="47492325" w14:textId="77777777" w:rsidR="00FD5ADD" w:rsidRPr="00FD5ADD" w:rsidRDefault="00FD5ADD" w:rsidP="00FD5ADD">
            <w:pPr>
              <w:jc w:val="center"/>
              <w:rPr>
                <w:lang w:val="en-GB"/>
              </w:rPr>
            </w:pPr>
            <w:r w:rsidRPr="00FD5ADD">
              <w:rPr>
                <w:lang w:val="en-GB"/>
              </w:rPr>
              <w:t>21</w:t>
            </w:r>
          </w:p>
        </w:tc>
        <w:tc>
          <w:tcPr>
            <w:tcW w:w="960" w:type="dxa"/>
            <w:noWrap/>
            <w:hideMark/>
          </w:tcPr>
          <w:p w14:paraId="5BD61B4E" w14:textId="77777777" w:rsidR="00FD5ADD" w:rsidRPr="00FD5ADD" w:rsidRDefault="00FD5ADD" w:rsidP="00FD5ADD">
            <w:pPr>
              <w:jc w:val="center"/>
              <w:rPr>
                <w:lang w:val="en-GB"/>
              </w:rPr>
            </w:pPr>
            <w:r w:rsidRPr="00FD5ADD">
              <w:rPr>
                <w:lang w:val="en-GB"/>
              </w:rPr>
              <w:t>51</w:t>
            </w:r>
          </w:p>
        </w:tc>
        <w:tc>
          <w:tcPr>
            <w:tcW w:w="960" w:type="dxa"/>
            <w:noWrap/>
            <w:hideMark/>
          </w:tcPr>
          <w:p w14:paraId="3FE26982" w14:textId="77777777" w:rsidR="00FD5ADD" w:rsidRPr="00FD5ADD" w:rsidRDefault="00FD5ADD" w:rsidP="00FD5ADD">
            <w:pPr>
              <w:jc w:val="center"/>
              <w:rPr>
                <w:lang w:val="en-GB"/>
              </w:rPr>
            </w:pPr>
            <w:r w:rsidRPr="00FD5ADD">
              <w:rPr>
                <w:lang w:val="en-GB"/>
              </w:rPr>
              <w:t>11</w:t>
            </w:r>
          </w:p>
        </w:tc>
        <w:tc>
          <w:tcPr>
            <w:tcW w:w="960" w:type="dxa"/>
            <w:noWrap/>
            <w:hideMark/>
          </w:tcPr>
          <w:p w14:paraId="6BF688D3" w14:textId="77777777" w:rsidR="00FD5ADD" w:rsidRPr="00FD5ADD" w:rsidRDefault="00FD5ADD" w:rsidP="00FD5ADD">
            <w:pPr>
              <w:jc w:val="center"/>
              <w:rPr>
                <w:lang w:val="en-GB"/>
              </w:rPr>
            </w:pPr>
            <w:r w:rsidRPr="00FD5ADD">
              <w:rPr>
                <w:lang w:val="en-GB"/>
              </w:rPr>
              <w:t>0</w:t>
            </w:r>
          </w:p>
        </w:tc>
      </w:tr>
      <w:tr w:rsidR="00FD5ADD" w:rsidRPr="00FD5ADD" w14:paraId="53855AC1" w14:textId="77777777" w:rsidTr="00F35B58">
        <w:trPr>
          <w:trHeight w:val="20"/>
        </w:trPr>
        <w:tc>
          <w:tcPr>
            <w:tcW w:w="5500" w:type="dxa"/>
            <w:noWrap/>
            <w:hideMark/>
          </w:tcPr>
          <w:p w14:paraId="56576DC2" w14:textId="77777777" w:rsidR="00FD5ADD" w:rsidRPr="00FD5ADD" w:rsidRDefault="00FD5ADD" w:rsidP="00FD5ADD">
            <w:pPr>
              <w:rPr>
                <w:lang w:val="en-GB"/>
              </w:rPr>
            </w:pPr>
            <w:r w:rsidRPr="00FD5ADD">
              <w:rPr>
                <w:lang w:val="en-GB"/>
              </w:rPr>
              <w:t>Number of Buyers - Share of total</w:t>
            </w:r>
          </w:p>
        </w:tc>
        <w:tc>
          <w:tcPr>
            <w:tcW w:w="960" w:type="dxa"/>
            <w:noWrap/>
            <w:hideMark/>
          </w:tcPr>
          <w:p w14:paraId="731A7DD2" w14:textId="77777777" w:rsidR="00FD5ADD" w:rsidRPr="00FD5ADD" w:rsidRDefault="00FD5ADD" w:rsidP="00FD5ADD">
            <w:pPr>
              <w:jc w:val="center"/>
              <w:rPr>
                <w:lang w:val="en-GB"/>
              </w:rPr>
            </w:pPr>
            <w:r w:rsidRPr="00FD5ADD">
              <w:rPr>
                <w:lang w:val="en-GB"/>
              </w:rPr>
              <w:t>3.5%</w:t>
            </w:r>
          </w:p>
        </w:tc>
        <w:tc>
          <w:tcPr>
            <w:tcW w:w="960" w:type="dxa"/>
            <w:noWrap/>
            <w:hideMark/>
          </w:tcPr>
          <w:p w14:paraId="5A59D307" w14:textId="77777777" w:rsidR="00FD5ADD" w:rsidRPr="00FD5ADD" w:rsidRDefault="00FD5ADD" w:rsidP="00FD5ADD">
            <w:pPr>
              <w:jc w:val="center"/>
              <w:rPr>
                <w:lang w:val="en-GB"/>
              </w:rPr>
            </w:pPr>
            <w:r w:rsidRPr="00FD5ADD">
              <w:rPr>
                <w:lang w:val="en-GB"/>
              </w:rPr>
              <w:t>24.4%</w:t>
            </w:r>
          </w:p>
        </w:tc>
        <w:tc>
          <w:tcPr>
            <w:tcW w:w="960" w:type="dxa"/>
            <w:noWrap/>
            <w:hideMark/>
          </w:tcPr>
          <w:p w14:paraId="4301A98E" w14:textId="77777777" w:rsidR="00FD5ADD" w:rsidRPr="00FD5ADD" w:rsidRDefault="00FD5ADD" w:rsidP="00FD5ADD">
            <w:pPr>
              <w:jc w:val="center"/>
              <w:rPr>
                <w:lang w:val="en-GB"/>
              </w:rPr>
            </w:pPr>
            <w:r w:rsidRPr="00FD5ADD">
              <w:rPr>
                <w:lang w:val="en-GB"/>
              </w:rPr>
              <w:t>59.3%</w:t>
            </w:r>
          </w:p>
        </w:tc>
        <w:tc>
          <w:tcPr>
            <w:tcW w:w="960" w:type="dxa"/>
            <w:noWrap/>
            <w:hideMark/>
          </w:tcPr>
          <w:p w14:paraId="31D289A6" w14:textId="77777777" w:rsidR="00FD5ADD" w:rsidRPr="00FD5ADD" w:rsidRDefault="00FD5ADD" w:rsidP="00FD5ADD">
            <w:pPr>
              <w:jc w:val="center"/>
              <w:rPr>
                <w:lang w:val="en-GB"/>
              </w:rPr>
            </w:pPr>
            <w:r w:rsidRPr="00FD5ADD">
              <w:rPr>
                <w:lang w:val="en-GB"/>
              </w:rPr>
              <w:t>12.8%</w:t>
            </w:r>
          </w:p>
        </w:tc>
        <w:tc>
          <w:tcPr>
            <w:tcW w:w="960" w:type="dxa"/>
            <w:noWrap/>
            <w:hideMark/>
          </w:tcPr>
          <w:p w14:paraId="74F76FB5" w14:textId="77777777" w:rsidR="00FD5ADD" w:rsidRPr="00FD5ADD" w:rsidRDefault="00FD5ADD" w:rsidP="00FD5ADD">
            <w:pPr>
              <w:jc w:val="center"/>
              <w:rPr>
                <w:lang w:val="en-GB"/>
              </w:rPr>
            </w:pPr>
            <w:r w:rsidRPr="00FD5ADD">
              <w:rPr>
                <w:lang w:val="en-GB"/>
              </w:rPr>
              <w:t>0.0%</w:t>
            </w:r>
          </w:p>
        </w:tc>
      </w:tr>
      <w:tr w:rsidR="00FD5ADD" w:rsidRPr="00FD5ADD" w14:paraId="6517E836" w14:textId="77777777" w:rsidTr="00F35B58">
        <w:trPr>
          <w:trHeight w:val="20"/>
        </w:trPr>
        <w:tc>
          <w:tcPr>
            <w:tcW w:w="5500" w:type="dxa"/>
            <w:noWrap/>
            <w:hideMark/>
          </w:tcPr>
          <w:p w14:paraId="3DF77C73" w14:textId="77777777" w:rsidR="00FD5ADD" w:rsidRPr="00FD5ADD" w:rsidRDefault="00FD5ADD" w:rsidP="00FD5ADD">
            <w:pPr>
              <w:rPr>
                <w:lang w:val="en-GB"/>
              </w:rPr>
            </w:pPr>
            <w:r w:rsidRPr="00FD5ADD">
              <w:rPr>
                <w:lang w:val="en-GB"/>
              </w:rPr>
              <w:t>Selling difficulty in 2020 VS last 3 years</w:t>
            </w:r>
          </w:p>
        </w:tc>
        <w:tc>
          <w:tcPr>
            <w:tcW w:w="960" w:type="dxa"/>
            <w:noWrap/>
            <w:hideMark/>
          </w:tcPr>
          <w:p w14:paraId="5A6E158D" w14:textId="77777777" w:rsidR="00FD5ADD" w:rsidRPr="00FD5ADD" w:rsidRDefault="00FD5ADD" w:rsidP="00FD5ADD">
            <w:pPr>
              <w:jc w:val="center"/>
              <w:rPr>
                <w:lang w:val="en-GB"/>
              </w:rPr>
            </w:pPr>
            <w:r w:rsidRPr="00FD5ADD">
              <w:rPr>
                <w:lang w:val="en-GB"/>
              </w:rPr>
              <w:t>0</w:t>
            </w:r>
          </w:p>
        </w:tc>
        <w:tc>
          <w:tcPr>
            <w:tcW w:w="960" w:type="dxa"/>
            <w:noWrap/>
            <w:hideMark/>
          </w:tcPr>
          <w:p w14:paraId="4C3DB0E4" w14:textId="77777777" w:rsidR="00FD5ADD" w:rsidRPr="00FD5ADD" w:rsidRDefault="00FD5ADD" w:rsidP="00FD5ADD">
            <w:pPr>
              <w:jc w:val="center"/>
              <w:rPr>
                <w:lang w:val="en-GB"/>
              </w:rPr>
            </w:pPr>
            <w:r w:rsidRPr="00FD5ADD">
              <w:rPr>
                <w:lang w:val="en-GB"/>
              </w:rPr>
              <w:t>6</w:t>
            </w:r>
          </w:p>
        </w:tc>
        <w:tc>
          <w:tcPr>
            <w:tcW w:w="960" w:type="dxa"/>
            <w:noWrap/>
            <w:hideMark/>
          </w:tcPr>
          <w:p w14:paraId="75B7FF87" w14:textId="77777777" w:rsidR="00FD5ADD" w:rsidRPr="00FD5ADD" w:rsidRDefault="00FD5ADD" w:rsidP="00FD5ADD">
            <w:pPr>
              <w:jc w:val="center"/>
              <w:rPr>
                <w:lang w:val="en-GB"/>
              </w:rPr>
            </w:pPr>
            <w:r w:rsidRPr="00FD5ADD">
              <w:rPr>
                <w:lang w:val="en-GB"/>
              </w:rPr>
              <w:t>31</w:t>
            </w:r>
          </w:p>
        </w:tc>
        <w:tc>
          <w:tcPr>
            <w:tcW w:w="960" w:type="dxa"/>
            <w:noWrap/>
            <w:hideMark/>
          </w:tcPr>
          <w:p w14:paraId="2ED2E30B" w14:textId="77777777" w:rsidR="00FD5ADD" w:rsidRPr="00FD5ADD" w:rsidRDefault="00FD5ADD" w:rsidP="00FD5ADD">
            <w:pPr>
              <w:jc w:val="center"/>
              <w:rPr>
                <w:lang w:val="en-GB"/>
              </w:rPr>
            </w:pPr>
            <w:r w:rsidRPr="00FD5ADD">
              <w:rPr>
                <w:lang w:val="en-GB"/>
              </w:rPr>
              <w:t>27</w:t>
            </w:r>
          </w:p>
        </w:tc>
        <w:tc>
          <w:tcPr>
            <w:tcW w:w="960" w:type="dxa"/>
            <w:noWrap/>
            <w:hideMark/>
          </w:tcPr>
          <w:p w14:paraId="6B5CE05B" w14:textId="77777777" w:rsidR="00FD5ADD" w:rsidRPr="00FD5ADD" w:rsidRDefault="00FD5ADD" w:rsidP="00FD5ADD">
            <w:pPr>
              <w:jc w:val="center"/>
              <w:rPr>
                <w:lang w:val="en-GB"/>
              </w:rPr>
            </w:pPr>
            <w:r w:rsidRPr="00FD5ADD">
              <w:rPr>
                <w:lang w:val="en-GB"/>
              </w:rPr>
              <w:t>22</w:t>
            </w:r>
          </w:p>
        </w:tc>
      </w:tr>
      <w:tr w:rsidR="00FD5ADD" w:rsidRPr="00FD5ADD" w14:paraId="0778C5F9" w14:textId="77777777" w:rsidTr="00F35B58">
        <w:trPr>
          <w:trHeight w:val="20"/>
        </w:trPr>
        <w:tc>
          <w:tcPr>
            <w:tcW w:w="5500" w:type="dxa"/>
            <w:tcBorders>
              <w:bottom w:val="single" w:sz="12" w:space="0" w:color="auto"/>
            </w:tcBorders>
            <w:noWrap/>
            <w:hideMark/>
          </w:tcPr>
          <w:p w14:paraId="613441D9" w14:textId="77777777" w:rsidR="00FD5ADD" w:rsidRPr="00FD5ADD" w:rsidRDefault="00FD5ADD" w:rsidP="00FD5ADD">
            <w:pPr>
              <w:rPr>
                <w:lang w:val="en-GB"/>
              </w:rPr>
            </w:pPr>
            <w:r w:rsidRPr="00FD5ADD">
              <w:rPr>
                <w:lang w:val="en-GB"/>
              </w:rPr>
              <w:t>Selling difficulty - Share of total</w:t>
            </w:r>
          </w:p>
        </w:tc>
        <w:tc>
          <w:tcPr>
            <w:tcW w:w="960" w:type="dxa"/>
            <w:tcBorders>
              <w:bottom w:val="single" w:sz="12" w:space="0" w:color="auto"/>
            </w:tcBorders>
            <w:noWrap/>
            <w:hideMark/>
          </w:tcPr>
          <w:p w14:paraId="2CCF00B1" w14:textId="77777777" w:rsidR="00FD5ADD" w:rsidRPr="00FD5ADD" w:rsidRDefault="00FD5ADD" w:rsidP="00FD5ADD">
            <w:pPr>
              <w:jc w:val="center"/>
              <w:rPr>
                <w:lang w:val="en-GB"/>
              </w:rPr>
            </w:pPr>
            <w:r w:rsidRPr="00FD5ADD">
              <w:rPr>
                <w:lang w:val="en-GB"/>
              </w:rPr>
              <w:t>0.0%</w:t>
            </w:r>
          </w:p>
        </w:tc>
        <w:tc>
          <w:tcPr>
            <w:tcW w:w="960" w:type="dxa"/>
            <w:tcBorders>
              <w:bottom w:val="single" w:sz="12" w:space="0" w:color="auto"/>
            </w:tcBorders>
            <w:noWrap/>
            <w:hideMark/>
          </w:tcPr>
          <w:p w14:paraId="1C5A5E7E" w14:textId="77777777" w:rsidR="00FD5ADD" w:rsidRPr="00FD5ADD" w:rsidRDefault="00FD5ADD" w:rsidP="00FD5ADD">
            <w:pPr>
              <w:jc w:val="center"/>
              <w:rPr>
                <w:lang w:val="en-GB"/>
              </w:rPr>
            </w:pPr>
            <w:r w:rsidRPr="00FD5ADD">
              <w:rPr>
                <w:lang w:val="en-GB"/>
              </w:rPr>
              <w:t>7.0%</w:t>
            </w:r>
          </w:p>
        </w:tc>
        <w:tc>
          <w:tcPr>
            <w:tcW w:w="960" w:type="dxa"/>
            <w:tcBorders>
              <w:bottom w:val="single" w:sz="12" w:space="0" w:color="auto"/>
            </w:tcBorders>
            <w:noWrap/>
            <w:hideMark/>
          </w:tcPr>
          <w:p w14:paraId="51E7D998" w14:textId="77777777" w:rsidR="00FD5ADD" w:rsidRPr="00FD5ADD" w:rsidRDefault="00FD5ADD" w:rsidP="00FD5ADD">
            <w:pPr>
              <w:jc w:val="center"/>
              <w:rPr>
                <w:lang w:val="en-GB"/>
              </w:rPr>
            </w:pPr>
            <w:r w:rsidRPr="00FD5ADD">
              <w:rPr>
                <w:lang w:val="en-GB"/>
              </w:rPr>
              <w:t>36.0%</w:t>
            </w:r>
          </w:p>
        </w:tc>
        <w:tc>
          <w:tcPr>
            <w:tcW w:w="960" w:type="dxa"/>
            <w:tcBorders>
              <w:bottom w:val="single" w:sz="12" w:space="0" w:color="auto"/>
            </w:tcBorders>
            <w:noWrap/>
            <w:hideMark/>
          </w:tcPr>
          <w:p w14:paraId="4693838B" w14:textId="77777777" w:rsidR="00FD5ADD" w:rsidRPr="00FD5ADD" w:rsidRDefault="00FD5ADD" w:rsidP="00FD5ADD">
            <w:pPr>
              <w:jc w:val="center"/>
              <w:rPr>
                <w:lang w:val="en-GB"/>
              </w:rPr>
            </w:pPr>
            <w:r w:rsidRPr="00FD5ADD">
              <w:rPr>
                <w:lang w:val="en-GB"/>
              </w:rPr>
              <w:t>31.4%</w:t>
            </w:r>
          </w:p>
        </w:tc>
        <w:tc>
          <w:tcPr>
            <w:tcW w:w="960" w:type="dxa"/>
            <w:tcBorders>
              <w:bottom w:val="single" w:sz="12" w:space="0" w:color="auto"/>
            </w:tcBorders>
            <w:noWrap/>
            <w:hideMark/>
          </w:tcPr>
          <w:p w14:paraId="242A57D8" w14:textId="77777777" w:rsidR="00FD5ADD" w:rsidRPr="00FD5ADD" w:rsidRDefault="00FD5ADD" w:rsidP="00FD5ADD">
            <w:pPr>
              <w:jc w:val="center"/>
              <w:rPr>
                <w:lang w:val="en-GB"/>
              </w:rPr>
            </w:pPr>
            <w:r w:rsidRPr="00FD5ADD">
              <w:rPr>
                <w:lang w:val="en-GB"/>
              </w:rPr>
              <w:t>25.6%</w:t>
            </w:r>
          </w:p>
        </w:tc>
      </w:tr>
    </w:tbl>
    <w:p w14:paraId="3F4FA664" w14:textId="77777777" w:rsidR="00FD5ADD" w:rsidRPr="00FD5ADD" w:rsidRDefault="00FD5ADD" w:rsidP="005D0391">
      <w:pPr>
        <w:rPr>
          <w:rFonts w:ascii="Times New Roman" w:hAnsi="Times New Roman" w:cs="Times New Roman"/>
          <w:i/>
          <w:iCs/>
          <w:sz w:val="20"/>
          <w:lang w:val="en-GB"/>
        </w:rPr>
      </w:pPr>
      <w:r w:rsidRPr="00FD5ADD">
        <w:rPr>
          <w:rFonts w:ascii="Times New Roman" w:hAnsi="Times New Roman" w:cs="Times New Roman"/>
          <w:i/>
          <w:iCs/>
          <w:sz w:val="20"/>
          <w:lang w:val="en-GB"/>
        </w:rPr>
        <w:t>Source: Authors based on structured farm survey (</w:t>
      </w:r>
      <w:r w:rsidRPr="00FD5ADD">
        <w:rPr>
          <w:rFonts w:ascii="Times New Roman" w:hAnsi="Times New Roman" w:cs="Times New Roman"/>
          <w:sz w:val="20"/>
          <w:lang w:val="en-GB"/>
        </w:rPr>
        <w:t>Note: Likert scale for Product sales and Number of Buyers is: 1=much lower, 2=lower, 3=same, 4=higher, 5=much higher; Likert scale for Selling difficulty is: 1=much easier, 2=easier, 3=same, 4=more difficult, 5=much more difficult)</w:t>
      </w:r>
    </w:p>
    <w:p w14:paraId="6DAF285C" w14:textId="77777777" w:rsidR="00FD5ADD" w:rsidRPr="00FD5ADD" w:rsidRDefault="00FD5ADD" w:rsidP="00FD5ADD">
      <w:pPr>
        <w:rPr>
          <w:rFonts w:ascii="Times New Roman" w:hAnsi="Times New Roman" w:cs="Times New Roman"/>
          <w:b/>
          <w:bCs/>
          <w:sz w:val="28"/>
          <w:szCs w:val="28"/>
          <w:lang w:val="en-GB"/>
        </w:rPr>
      </w:pPr>
      <w:bookmarkStart w:id="19" w:name="_Toc71976341"/>
      <w:bookmarkStart w:id="20" w:name="_Hlk68517410"/>
      <w:r w:rsidRPr="00FD5ADD">
        <w:rPr>
          <w:rFonts w:ascii="Times New Roman" w:hAnsi="Times New Roman" w:cs="Times New Roman"/>
          <w:b/>
          <w:bCs/>
          <w:sz w:val="28"/>
          <w:szCs w:val="28"/>
          <w:lang w:val="en-GB"/>
        </w:rPr>
        <w:t>4. Conclusions and Recommendations</w:t>
      </w:r>
      <w:bookmarkEnd w:id="19"/>
      <w:r w:rsidRPr="00FD5ADD">
        <w:rPr>
          <w:rFonts w:ascii="Times New Roman" w:hAnsi="Times New Roman" w:cs="Times New Roman"/>
          <w:b/>
          <w:bCs/>
          <w:sz w:val="28"/>
          <w:szCs w:val="28"/>
          <w:lang w:val="en-GB"/>
        </w:rPr>
        <w:t xml:space="preserve"> </w:t>
      </w:r>
    </w:p>
    <w:p w14:paraId="73AC500C"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The Covid-19 pandemic has caused new problems in the agriculture sector and generated a sense of urgency to address some of them. What is more important, is that the Covid-19 pandemic impact brought back into the attention long prevailing institutional constrains which impede the sector to achieve its full potentials. </w:t>
      </w:r>
    </w:p>
    <w:p w14:paraId="3487DBAA"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The long prevailing constrains require systemic actions to be taken by prompting new concepts and modernizing national and local policies as well as improving government capacities to apply and finance inclusive, gender-responsive, and evidence-based policies. The emerging problems, especially the one appearing in the early period of the pandemic should be addressed through a separate package of interventions. More attention should be given into establishing multisectoral approaches and preparing coordinated interventions between the two layers of government. </w:t>
      </w:r>
    </w:p>
    <w:p w14:paraId="5B02D39C" w14:textId="77777777"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Evidence suggests that when written contracts were applied, the positioning of the contracting parties was better during Covid-19. Thus, contracting has proven to be relevant option to reduce negative effects. This was also the case of large exporters of fresh vegetable. In terms of concrete actions, exporters who have established somehow stable relations with farmers, can be assisted to identify and penetrate in better market segments which operate with written contracts, such as supermarket chains. In that case, the exporter can be supported to contract farming. Market intelligence and information systems are necessary. This strategy may work best if coupled with safety standards certification (such as Global GAP – see below). </w:t>
      </w:r>
    </w:p>
    <w:p w14:paraId="167CF31F" w14:textId="77777777" w:rsidR="00FD5ADD" w:rsidRPr="00FD5ADD" w:rsidRDefault="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There are several interventions that can be applied by individuals or groups of producers such as: </w:t>
      </w:r>
    </w:p>
    <w:p w14:paraId="5287B1DF" w14:textId="77777777" w:rsidR="00FD5ADD" w:rsidRPr="00FD5ADD" w:rsidRDefault="00FD5ADD">
      <w:pPr>
        <w:widowControl w:val="0"/>
        <w:numPr>
          <w:ilvl w:val="0"/>
          <w:numId w:val="3"/>
        </w:numPr>
        <w:overflowPunct w:val="0"/>
        <w:adjustRightInd w:val="0"/>
        <w:spacing w:before="120" w:after="120" w:line="276" w:lineRule="auto"/>
        <w:jc w:val="both"/>
        <w:rPr>
          <w:rFonts w:ascii="Times New Roman" w:eastAsia="Times New Roman" w:hAnsi="Times New Roman" w:cs="Times New Roman"/>
          <w:kern w:val="28"/>
          <w:sz w:val="24"/>
          <w:szCs w:val="24"/>
          <w:lang w:val="en-GB" w:eastAsia="en-GB"/>
        </w:rPr>
      </w:pPr>
      <w:r w:rsidRPr="00FD5ADD">
        <w:rPr>
          <w:rFonts w:ascii="Times New Roman" w:eastAsia="Times New Roman" w:hAnsi="Times New Roman" w:cs="Times New Roman"/>
          <w:kern w:val="28"/>
          <w:sz w:val="24"/>
          <w:szCs w:val="24"/>
          <w:lang w:val="en-GB" w:eastAsia="en-GB"/>
        </w:rPr>
        <w:t>Direct sale windows and use of smart sales (e.g., online selling).</w:t>
      </w:r>
    </w:p>
    <w:p w14:paraId="3ABF8809" w14:textId="77777777" w:rsidR="00FD5ADD" w:rsidRPr="00FD5ADD" w:rsidRDefault="00FD5ADD">
      <w:pPr>
        <w:widowControl w:val="0"/>
        <w:numPr>
          <w:ilvl w:val="0"/>
          <w:numId w:val="3"/>
        </w:numPr>
        <w:overflowPunct w:val="0"/>
        <w:adjustRightInd w:val="0"/>
        <w:spacing w:before="120" w:after="120" w:line="276" w:lineRule="auto"/>
        <w:jc w:val="both"/>
        <w:rPr>
          <w:rFonts w:ascii="Times New Roman" w:eastAsia="Times New Roman" w:hAnsi="Times New Roman" w:cs="Times New Roman"/>
          <w:kern w:val="28"/>
          <w:sz w:val="24"/>
          <w:szCs w:val="24"/>
          <w:lang w:val="en-GB" w:eastAsia="en-GB"/>
        </w:rPr>
      </w:pPr>
      <w:r w:rsidRPr="00FD5ADD">
        <w:rPr>
          <w:rFonts w:ascii="Times New Roman" w:eastAsia="Times New Roman" w:hAnsi="Times New Roman" w:cs="Times New Roman"/>
          <w:kern w:val="28"/>
          <w:sz w:val="24"/>
          <w:szCs w:val="24"/>
          <w:lang w:val="en-GB" w:eastAsia="en-GB"/>
        </w:rPr>
        <w:t xml:space="preserve">Networks of solidarity shops sharing same territory of origin but different customers. </w:t>
      </w:r>
    </w:p>
    <w:p w14:paraId="60D29ACF" w14:textId="77777777" w:rsidR="00FD5ADD" w:rsidRPr="00FD5ADD" w:rsidRDefault="00FD5ADD">
      <w:pPr>
        <w:widowControl w:val="0"/>
        <w:numPr>
          <w:ilvl w:val="0"/>
          <w:numId w:val="3"/>
        </w:numPr>
        <w:overflowPunct w:val="0"/>
        <w:adjustRightInd w:val="0"/>
        <w:spacing w:before="120" w:after="120" w:line="276" w:lineRule="auto"/>
        <w:jc w:val="both"/>
        <w:rPr>
          <w:rFonts w:ascii="Times New Roman" w:eastAsia="Times New Roman" w:hAnsi="Times New Roman" w:cs="Times New Roman"/>
          <w:kern w:val="28"/>
          <w:sz w:val="24"/>
          <w:szCs w:val="24"/>
          <w:lang w:val="en-GB" w:eastAsia="en-GB"/>
        </w:rPr>
      </w:pPr>
      <w:r w:rsidRPr="00FD5ADD">
        <w:rPr>
          <w:rFonts w:ascii="Times New Roman" w:eastAsia="Times New Roman" w:hAnsi="Times New Roman" w:cs="Times New Roman"/>
          <w:kern w:val="28"/>
          <w:sz w:val="24"/>
          <w:szCs w:val="24"/>
          <w:lang w:val="en-GB" w:eastAsia="en-GB"/>
        </w:rPr>
        <w:t xml:space="preserve">Promotion of diversification activities at farm level. </w:t>
      </w:r>
    </w:p>
    <w:p w14:paraId="0A89D35D" w14:textId="77777777" w:rsidR="00FD5ADD" w:rsidRPr="00FD5ADD" w:rsidRDefault="00FD5ADD">
      <w:pPr>
        <w:spacing w:before="120" w:after="120" w:line="276" w:lineRule="auto"/>
        <w:jc w:val="both"/>
        <w:rPr>
          <w:rFonts w:ascii="Times New Roman" w:hAnsi="Times New Roman" w:cs="Times New Roman"/>
          <w:sz w:val="24"/>
          <w:szCs w:val="24"/>
          <w:lang w:val="en-GB"/>
        </w:rPr>
      </w:pPr>
    </w:p>
    <w:p w14:paraId="647E5A4B" w14:textId="27ECADF6" w:rsidR="00FD5ADD" w:rsidRPr="00FD5ADD" w:rsidRDefault="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In order to improve positioning in the export markets, safety and quality standards should be improved. More specifically, shifting market orientation from the regional markets (with low purchasing power and prices) to central and northern European markets (with higher purchasing power, </w:t>
      </w:r>
      <w:proofErr w:type="gramStart"/>
      <w:r w:rsidRPr="00FD5ADD">
        <w:rPr>
          <w:rFonts w:ascii="Times New Roman" w:hAnsi="Times New Roman" w:cs="Times New Roman"/>
          <w:sz w:val="24"/>
          <w:szCs w:val="24"/>
          <w:lang w:val="en-GB"/>
        </w:rPr>
        <w:t>prices</w:t>
      </w:r>
      <w:proofErr w:type="gramEnd"/>
      <w:r w:rsidRPr="00FD5ADD">
        <w:rPr>
          <w:rFonts w:ascii="Times New Roman" w:hAnsi="Times New Roman" w:cs="Times New Roman"/>
          <w:sz w:val="24"/>
          <w:szCs w:val="24"/>
          <w:lang w:val="en-GB"/>
        </w:rPr>
        <w:t xml:space="preserve"> and also higher demand for standards). That requires interventions targeting the weakest points, as highlighted below. </w:t>
      </w:r>
    </w:p>
    <w:p w14:paraId="5E5AE256" w14:textId="69059C56"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i/>
          <w:sz w:val="24"/>
          <w:szCs w:val="24"/>
          <w:lang w:val="en-GB"/>
        </w:rPr>
        <w:t>Certification</w:t>
      </w:r>
      <w:r w:rsidRPr="00FD5ADD">
        <w:rPr>
          <w:rFonts w:ascii="Times New Roman" w:hAnsi="Times New Roman" w:cs="Times New Roman"/>
          <w:sz w:val="24"/>
          <w:szCs w:val="24"/>
          <w:lang w:val="en-GB"/>
        </w:rPr>
        <w:t>. There is a potential to scale up GlobalGAP certification, which improves export market positioning. There are several cases of horticulture producers who have been certified with GlobalGAP – GlobalGAP represents an advantage to export more attractive EU markets. Indeed, thanks to GlobalGAP certification, Albanian horticulture products now are present also in Scandinavian markets, which on one hand are very demanding in terms of standards, while on the other hand</w:t>
      </w:r>
      <w:r w:rsidR="00E504CE">
        <w:rPr>
          <w:rFonts w:ascii="Times New Roman" w:hAnsi="Times New Roman" w:cs="Times New Roman"/>
          <w:sz w:val="24"/>
          <w:szCs w:val="24"/>
          <w:lang w:val="en-GB"/>
        </w:rPr>
        <w:t>,</w:t>
      </w:r>
      <w:r w:rsidRPr="00FD5ADD">
        <w:rPr>
          <w:rFonts w:ascii="Times New Roman" w:hAnsi="Times New Roman" w:cs="Times New Roman"/>
          <w:sz w:val="24"/>
          <w:szCs w:val="24"/>
          <w:lang w:val="en-GB"/>
        </w:rPr>
        <w:t xml:space="preserve"> they offer attractive prices. Concrete interventions are feasible, such as supporting exporters who intend to introduce group certification jointly with farmer</w:t>
      </w:r>
      <w:r w:rsidR="00E504CE">
        <w:rPr>
          <w:rFonts w:ascii="Times New Roman" w:hAnsi="Times New Roman" w:cs="Times New Roman"/>
          <w:sz w:val="24"/>
          <w:szCs w:val="24"/>
          <w:lang w:val="en-GB"/>
        </w:rPr>
        <w:t>’</w:t>
      </w:r>
      <w:r w:rsidRPr="00FD5ADD">
        <w:rPr>
          <w:rFonts w:ascii="Times New Roman" w:hAnsi="Times New Roman" w:cs="Times New Roman"/>
          <w:sz w:val="24"/>
          <w:szCs w:val="24"/>
          <w:lang w:val="en-GB"/>
        </w:rPr>
        <w:t>s groups.</w:t>
      </w:r>
    </w:p>
    <w:p w14:paraId="5FA9D714" w14:textId="3DDA8EA2"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Collective action based on trust is a critical determinant of competitiveness. Pilot projects on cluster development (in one of the identified clusters), providing producer organization support (in a narrow area) and carrying contract farming (in </w:t>
      </w:r>
      <w:proofErr w:type="spellStart"/>
      <w:r w:rsidRPr="00FD5ADD">
        <w:rPr>
          <w:rFonts w:ascii="Times New Roman" w:hAnsi="Times New Roman" w:cs="Times New Roman"/>
          <w:sz w:val="24"/>
          <w:szCs w:val="24"/>
          <w:lang w:val="en-GB"/>
        </w:rPr>
        <w:t>exportdriven</w:t>
      </w:r>
      <w:proofErr w:type="spellEnd"/>
      <w:r w:rsidRPr="00FD5ADD">
        <w:rPr>
          <w:rFonts w:ascii="Times New Roman" w:hAnsi="Times New Roman" w:cs="Times New Roman"/>
          <w:sz w:val="24"/>
          <w:szCs w:val="24"/>
          <w:lang w:val="en-GB"/>
        </w:rPr>
        <w:t xml:space="preserve"> value chains) can be tested. </w:t>
      </w:r>
    </w:p>
    <w:p w14:paraId="11AD124E" w14:textId="049EB5A5" w:rsidR="00FD5ADD" w:rsidRPr="00FD5ADD" w:rsidRDefault="00FD5ADD" w:rsidP="00FD5ADD">
      <w:pPr>
        <w:spacing w:before="120" w:after="120" w:line="276" w:lineRule="auto"/>
        <w:jc w:val="both"/>
        <w:rPr>
          <w:rFonts w:ascii="Times New Roman" w:hAnsi="Times New Roman" w:cs="Times New Roman"/>
          <w:sz w:val="24"/>
          <w:szCs w:val="24"/>
          <w:lang w:val="en-GB"/>
        </w:rPr>
      </w:pPr>
      <w:r w:rsidRPr="00FD5ADD">
        <w:rPr>
          <w:rFonts w:ascii="Times New Roman" w:hAnsi="Times New Roman" w:cs="Times New Roman"/>
          <w:sz w:val="24"/>
          <w:szCs w:val="24"/>
          <w:lang w:val="en-GB"/>
        </w:rPr>
        <w:t xml:space="preserve">Besides being a key determinant of enhancing overall agricultural system competitiveness, collective action may also serve as a mechanism to mitigate pandemic effects. As we have discussed; </w:t>
      </w:r>
      <w:r w:rsidRPr="00FD5ADD">
        <w:rPr>
          <w:rFonts w:ascii="Times New Roman" w:hAnsi="Times New Roman" w:cs="Times New Roman"/>
          <w:sz w:val="24"/>
          <w:szCs w:val="24"/>
          <w:u w:val="single"/>
          <w:lang w:val="en-GB"/>
        </w:rPr>
        <w:t>vertical</w:t>
      </w:r>
      <w:r w:rsidRPr="00FD5ADD">
        <w:rPr>
          <w:rFonts w:ascii="Times New Roman" w:hAnsi="Times New Roman" w:cs="Times New Roman"/>
          <w:sz w:val="24"/>
          <w:szCs w:val="24"/>
          <w:lang w:val="en-GB"/>
        </w:rPr>
        <w:t xml:space="preserve"> collective action (vertical coordination and </w:t>
      </w:r>
      <w:r w:rsidRPr="00FD5ADD">
        <w:rPr>
          <w:rFonts w:ascii="Times New Roman" w:hAnsi="Times New Roman" w:cs="Times New Roman"/>
          <w:sz w:val="24"/>
          <w:szCs w:val="24"/>
          <w:u w:val="single"/>
          <w:lang w:val="en-GB"/>
        </w:rPr>
        <w:t>contract farming</w:t>
      </w:r>
      <w:r w:rsidRPr="00FD5ADD">
        <w:rPr>
          <w:rFonts w:ascii="Times New Roman" w:hAnsi="Times New Roman" w:cs="Times New Roman"/>
          <w:sz w:val="24"/>
          <w:szCs w:val="24"/>
          <w:lang w:val="en-GB"/>
        </w:rPr>
        <w:t xml:space="preserve">) has been beneficial for farmers; </w:t>
      </w:r>
      <w:r w:rsidRPr="00FD5ADD">
        <w:rPr>
          <w:rFonts w:ascii="Times New Roman" w:hAnsi="Times New Roman" w:cs="Times New Roman"/>
          <w:sz w:val="24"/>
          <w:szCs w:val="24"/>
          <w:u w:val="single"/>
          <w:lang w:val="en-GB"/>
        </w:rPr>
        <w:t>horizontal</w:t>
      </w:r>
      <w:r w:rsidRPr="00FD5ADD">
        <w:rPr>
          <w:rFonts w:ascii="Times New Roman" w:hAnsi="Times New Roman" w:cs="Times New Roman"/>
          <w:sz w:val="24"/>
          <w:szCs w:val="24"/>
          <w:lang w:val="en-GB"/>
        </w:rPr>
        <w:t xml:space="preserve"> cooperation or </w:t>
      </w:r>
      <w:r w:rsidRPr="00FD5ADD">
        <w:rPr>
          <w:rFonts w:ascii="Times New Roman" w:hAnsi="Times New Roman" w:cs="Times New Roman"/>
          <w:sz w:val="24"/>
          <w:szCs w:val="24"/>
          <w:u w:val="single"/>
          <w:lang w:val="en-GB"/>
        </w:rPr>
        <w:t>producers’ groups</w:t>
      </w:r>
      <w:r w:rsidRPr="00FD5ADD">
        <w:rPr>
          <w:rFonts w:ascii="Times New Roman" w:hAnsi="Times New Roman" w:cs="Times New Roman"/>
          <w:sz w:val="24"/>
          <w:szCs w:val="24"/>
          <w:lang w:val="en-GB"/>
        </w:rPr>
        <w:t xml:space="preserve"> (to be piloted) may be mechanisms to reduce production losses and assure better farm prices for farmers by withdrawing excess supply from the market but also by improving product quality and marketing; sector based collective action, </w:t>
      </w:r>
      <w:r w:rsidRPr="00FD5ADD">
        <w:rPr>
          <w:rFonts w:ascii="Times New Roman" w:hAnsi="Times New Roman" w:cs="Times New Roman"/>
          <w:sz w:val="24"/>
          <w:szCs w:val="24"/>
          <w:u w:val="single"/>
          <w:lang w:val="en-GB"/>
        </w:rPr>
        <w:t>IBOs</w:t>
      </w:r>
      <w:r w:rsidRPr="00FD5ADD">
        <w:rPr>
          <w:rFonts w:ascii="Times New Roman" w:hAnsi="Times New Roman" w:cs="Times New Roman"/>
          <w:sz w:val="24"/>
          <w:szCs w:val="24"/>
          <w:lang w:val="en-GB"/>
        </w:rPr>
        <w:t xml:space="preserve">, may develop a mid to long term view for the sector and promote innovation, product safety and quality which are key to access high income markets; and </w:t>
      </w:r>
      <w:r w:rsidRPr="00FD5ADD">
        <w:rPr>
          <w:rFonts w:ascii="Times New Roman" w:hAnsi="Times New Roman" w:cs="Times New Roman"/>
          <w:sz w:val="24"/>
          <w:szCs w:val="24"/>
          <w:u w:val="single"/>
          <w:lang w:val="en-GB"/>
        </w:rPr>
        <w:t>local</w:t>
      </w:r>
      <w:r w:rsidRPr="00FD5ADD">
        <w:rPr>
          <w:rFonts w:ascii="Times New Roman" w:hAnsi="Times New Roman" w:cs="Times New Roman"/>
          <w:sz w:val="24"/>
          <w:szCs w:val="24"/>
          <w:lang w:val="en-GB"/>
        </w:rPr>
        <w:t xml:space="preserve"> collective action, </w:t>
      </w:r>
      <w:r w:rsidRPr="00FD5ADD">
        <w:rPr>
          <w:rFonts w:ascii="Times New Roman" w:hAnsi="Times New Roman" w:cs="Times New Roman"/>
          <w:sz w:val="24"/>
          <w:szCs w:val="24"/>
          <w:u w:val="single"/>
          <w:lang w:val="en-GB"/>
        </w:rPr>
        <w:t>clusters</w:t>
      </w:r>
      <w:r w:rsidRPr="00FD5ADD">
        <w:rPr>
          <w:rFonts w:ascii="Times New Roman" w:hAnsi="Times New Roman" w:cs="Times New Roman"/>
          <w:sz w:val="24"/>
          <w:szCs w:val="24"/>
          <w:lang w:val="en-GB"/>
        </w:rPr>
        <w:t>, are critical to innovation, product quality and access to high income markets.</w:t>
      </w:r>
    </w:p>
    <w:p w14:paraId="37A3ED5D" w14:textId="3BF8A5ED" w:rsidR="00FD5ADD" w:rsidRPr="00FD5ADD" w:rsidRDefault="009E757A" w:rsidP="00FD5ADD">
      <w:pPr>
        <w:keepNext/>
        <w:keepLines/>
        <w:pageBreakBefore/>
        <w:spacing w:before="240" w:after="120" w:line="240" w:lineRule="auto"/>
        <w:jc w:val="both"/>
        <w:outlineLvl w:val="0"/>
        <w:rPr>
          <w:rFonts w:ascii="Times New Roman" w:eastAsiaTheme="majorEastAsia" w:hAnsi="Times New Roman" w:cs="Times New Roman"/>
          <w:b/>
          <w:bCs/>
          <w:sz w:val="28"/>
          <w:szCs w:val="28"/>
          <w:lang w:val="en-GB"/>
        </w:rPr>
      </w:pPr>
      <w:bookmarkStart w:id="21" w:name="_Toc68203193"/>
      <w:bookmarkStart w:id="22" w:name="_Toc71976342"/>
      <w:bookmarkEnd w:id="20"/>
      <w:r w:rsidRPr="00C603A7">
        <w:rPr>
          <w:rFonts w:ascii="Times New Roman" w:eastAsiaTheme="majorEastAsia" w:hAnsi="Times New Roman" w:cs="Times New Roman"/>
          <w:b/>
          <w:bCs/>
          <w:sz w:val="28"/>
          <w:szCs w:val="28"/>
          <w:lang w:val="en-GB"/>
        </w:rPr>
        <w:lastRenderedPageBreak/>
        <w:t>5</w:t>
      </w:r>
      <w:r w:rsidR="00FD5ADD" w:rsidRPr="00FD5ADD">
        <w:rPr>
          <w:rFonts w:ascii="Times New Roman" w:eastAsiaTheme="majorEastAsia" w:hAnsi="Times New Roman" w:cs="Times New Roman"/>
          <w:b/>
          <w:bCs/>
          <w:sz w:val="28"/>
          <w:szCs w:val="28"/>
          <w:lang w:val="en-GB"/>
        </w:rPr>
        <w:t>. Bibliography</w:t>
      </w:r>
      <w:bookmarkEnd w:id="21"/>
      <w:bookmarkEnd w:id="22"/>
      <w:r w:rsidR="00FD5ADD" w:rsidRPr="00FD5ADD">
        <w:rPr>
          <w:rFonts w:ascii="Times New Roman" w:eastAsiaTheme="majorEastAsia" w:hAnsi="Times New Roman" w:cs="Times New Roman"/>
          <w:b/>
          <w:bCs/>
          <w:sz w:val="28"/>
          <w:szCs w:val="28"/>
          <w:lang w:val="en-GB"/>
        </w:rPr>
        <w:t xml:space="preserve"> </w:t>
      </w:r>
    </w:p>
    <w:p w14:paraId="03C40CE0"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color w:val="0563C1"/>
          <w:sz w:val="24"/>
          <w:szCs w:val="24"/>
          <w:u w:val="single"/>
          <w:lang w:val="en-GB"/>
        </w:rPr>
      </w:pPr>
      <w:r w:rsidRPr="00FD5ADD">
        <w:rPr>
          <w:rFonts w:ascii="Times New Roman" w:eastAsia="Calibri" w:hAnsi="Times New Roman" w:cs="Times New Roman"/>
          <w:sz w:val="24"/>
          <w:szCs w:val="24"/>
          <w:lang w:val="en-GB"/>
        </w:rPr>
        <w:t xml:space="preserve">Baldwin, R. &amp; Freeman, R.  (2020).  Supply chain contagion waves: Thinking ahead on manufacturing ‘contagion and reinfection’ from the Covid concussion. VoxEU &amp; CEPR. Retrieved from: </w:t>
      </w:r>
      <w:hyperlink r:id="rId17" w:history="1">
        <w:r w:rsidRPr="00FD5ADD">
          <w:rPr>
            <w:rFonts w:ascii="Times New Roman" w:eastAsia="Calibri" w:hAnsi="Times New Roman" w:cs="Times New Roman"/>
            <w:color w:val="0563C1"/>
            <w:sz w:val="24"/>
            <w:szCs w:val="24"/>
            <w:u w:val="single"/>
            <w:lang w:val="en-GB"/>
          </w:rPr>
          <w:t>https://voxeu.org/article/covid-concussion-and-supply-chain-contagion-waves</w:t>
        </w:r>
      </w:hyperlink>
    </w:p>
    <w:p w14:paraId="132E9491"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color w:val="0563C1"/>
          <w:sz w:val="24"/>
          <w:szCs w:val="24"/>
          <w:u w:val="single"/>
          <w:lang w:val="en-GB"/>
        </w:rPr>
      </w:pPr>
      <w:r w:rsidRPr="00FD5ADD">
        <w:rPr>
          <w:rFonts w:ascii="Times New Roman" w:eastAsia="Calibri" w:hAnsi="Times New Roman" w:cs="Times New Roman"/>
          <w:sz w:val="24"/>
          <w:szCs w:val="24"/>
          <w:lang w:val="en-GB"/>
        </w:rPr>
        <w:t xml:space="preserve">Baldwin, R., &amp; </w:t>
      </w:r>
      <w:proofErr w:type="spellStart"/>
      <w:r w:rsidRPr="00FD5ADD">
        <w:rPr>
          <w:rFonts w:ascii="Times New Roman" w:eastAsia="Calibri" w:hAnsi="Times New Roman" w:cs="Times New Roman"/>
          <w:sz w:val="24"/>
          <w:szCs w:val="24"/>
          <w:lang w:val="en-GB"/>
        </w:rPr>
        <w:t>Weder</w:t>
      </w:r>
      <w:proofErr w:type="spellEnd"/>
      <w:r w:rsidRPr="00FD5ADD">
        <w:rPr>
          <w:rFonts w:ascii="Times New Roman" w:eastAsia="Calibri" w:hAnsi="Times New Roman" w:cs="Times New Roman"/>
          <w:sz w:val="24"/>
          <w:szCs w:val="24"/>
          <w:lang w:val="en-GB"/>
        </w:rPr>
        <w:t xml:space="preserve"> di Mauro, B. (2020), Introduction. In “Economics in the time of COVID-19”, Baldwin </w:t>
      </w:r>
      <w:proofErr w:type="spellStart"/>
      <w:r w:rsidRPr="00FD5ADD">
        <w:rPr>
          <w:rFonts w:ascii="Times New Roman" w:eastAsia="Calibri" w:hAnsi="Times New Roman" w:cs="Times New Roman"/>
          <w:sz w:val="24"/>
          <w:szCs w:val="24"/>
          <w:lang w:val="en-GB"/>
        </w:rPr>
        <w:t>Weder</w:t>
      </w:r>
      <w:proofErr w:type="spellEnd"/>
      <w:r w:rsidRPr="00FD5ADD">
        <w:rPr>
          <w:rFonts w:ascii="Times New Roman" w:eastAsia="Calibri" w:hAnsi="Times New Roman" w:cs="Times New Roman"/>
          <w:sz w:val="24"/>
          <w:szCs w:val="24"/>
          <w:lang w:val="en-GB"/>
        </w:rPr>
        <w:t xml:space="preserve"> di Mauro (eds). CEPR Press, London, UK.</w:t>
      </w:r>
    </w:p>
    <w:p w14:paraId="7D063213"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r w:rsidRPr="00FD5ADD">
        <w:rPr>
          <w:rFonts w:ascii="Times New Roman" w:eastAsia="Calibri" w:hAnsi="Times New Roman" w:cs="Times New Roman"/>
          <w:sz w:val="24"/>
          <w:szCs w:val="24"/>
          <w:lang w:val="en-GB"/>
        </w:rPr>
        <w:t xml:space="preserve">Bhosale, J. (2020). Prices of agricultural commodities drop 20% post Covid-19 outbreak. The Economic Times. Retrieved from: </w:t>
      </w:r>
      <w:hyperlink r:id="rId18" w:history="1">
        <w:r w:rsidRPr="00FD5ADD">
          <w:rPr>
            <w:rFonts w:ascii="Times New Roman" w:eastAsia="Calibri" w:hAnsi="Times New Roman" w:cs="Times New Roman"/>
            <w:color w:val="0563C1" w:themeColor="hyperlink"/>
            <w:sz w:val="24"/>
            <w:szCs w:val="24"/>
            <w:u w:val="single"/>
            <w:lang w:val="en-GB"/>
          </w:rPr>
          <w:t>https://economictimes.indiatimes.com/news/economy/agriculture/prices-of-agricultural-commodities-drop-20-post-covid-19-outbreak/articleshow/74705537.cms</w:t>
        </w:r>
      </w:hyperlink>
    </w:p>
    <w:p w14:paraId="71BBF3F7"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r w:rsidRPr="00FD5ADD">
        <w:rPr>
          <w:rFonts w:ascii="Times New Roman" w:eastAsia="Calibri" w:hAnsi="Times New Roman" w:cs="Times New Roman"/>
          <w:sz w:val="24"/>
          <w:szCs w:val="24"/>
          <w:lang w:val="en-GB"/>
        </w:rPr>
        <w:t>Canuto, O. (2020). The Impact of Coronavirus on the Global Economy.</w:t>
      </w:r>
      <w:r w:rsidRPr="00FD5ADD">
        <w:rPr>
          <w:rFonts w:ascii="Times New Roman" w:hAnsi="Times New Roman" w:cs="Times New Roman"/>
          <w:sz w:val="24"/>
          <w:szCs w:val="24"/>
          <w:lang w:val="en-GB"/>
        </w:rPr>
        <w:t xml:space="preserve"> </w:t>
      </w:r>
      <w:r w:rsidRPr="00FD5ADD">
        <w:rPr>
          <w:rFonts w:ascii="Times New Roman" w:eastAsia="Calibri" w:hAnsi="Times New Roman" w:cs="Times New Roman"/>
          <w:sz w:val="24"/>
          <w:szCs w:val="24"/>
          <w:lang w:val="en-GB"/>
        </w:rPr>
        <w:t xml:space="preserve">Policy Center for the New South. June. </w:t>
      </w:r>
    </w:p>
    <w:p w14:paraId="4F9B7E4C"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proofErr w:type="spellStart"/>
      <w:r w:rsidRPr="00FD5ADD">
        <w:rPr>
          <w:rFonts w:ascii="Times New Roman" w:eastAsia="Calibri" w:hAnsi="Times New Roman" w:cs="Times New Roman"/>
          <w:sz w:val="24"/>
          <w:szCs w:val="24"/>
          <w:lang w:val="en-GB"/>
        </w:rPr>
        <w:t>Elleby</w:t>
      </w:r>
      <w:proofErr w:type="spellEnd"/>
      <w:r w:rsidRPr="00FD5ADD">
        <w:rPr>
          <w:rFonts w:ascii="Times New Roman" w:eastAsia="Calibri" w:hAnsi="Times New Roman" w:cs="Times New Roman"/>
          <w:sz w:val="24"/>
          <w:szCs w:val="24"/>
          <w:lang w:val="en-GB"/>
        </w:rPr>
        <w:t>, C., Domínguez, I. P., Adenauer, M., &amp; Genovese, G. (2020). Impacts of the Covid-19 pandemic on the global agricultural markets. Environmental and Resource Economics, 76(4), 1067-1079.</w:t>
      </w:r>
    </w:p>
    <w:p w14:paraId="5B63C0F5" w14:textId="7598A99B"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r w:rsidRPr="00FD5ADD">
        <w:rPr>
          <w:rFonts w:ascii="Times New Roman" w:eastAsia="Calibri" w:hAnsi="Times New Roman" w:cs="Times New Roman"/>
          <w:sz w:val="24"/>
          <w:szCs w:val="24"/>
          <w:lang w:val="en-GB"/>
        </w:rPr>
        <w:t xml:space="preserve">FAO (2020). Q&amp;A: Covid-19 pandemic - impact on food and agriculture. Retrieved from: </w:t>
      </w:r>
      <w:hyperlink r:id="rId19" w:history="1">
        <w:r w:rsidRPr="00FD5ADD">
          <w:rPr>
            <w:rFonts w:ascii="Times New Roman" w:eastAsia="Calibri" w:hAnsi="Times New Roman" w:cs="Times New Roman"/>
            <w:sz w:val="24"/>
            <w:szCs w:val="24"/>
            <w:lang w:val="en-GB"/>
          </w:rPr>
          <w:t>http://www.fao.org/2019-ncov/q-and-a/en/</w:t>
        </w:r>
      </w:hyperlink>
    </w:p>
    <w:p w14:paraId="6C6FA917"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proofErr w:type="spellStart"/>
      <w:r w:rsidRPr="00FD5ADD">
        <w:rPr>
          <w:rFonts w:ascii="Times New Roman" w:hAnsi="Times New Roman" w:cs="Times New Roman"/>
          <w:color w:val="000000"/>
          <w:sz w:val="24"/>
          <w:szCs w:val="24"/>
          <w:lang w:val="en-GB"/>
        </w:rPr>
        <w:t>Harri</w:t>
      </w:r>
      <w:proofErr w:type="spellEnd"/>
      <w:r w:rsidRPr="00FD5ADD">
        <w:rPr>
          <w:rFonts w:ascii="Times New Roman" w:hAnsi="Times New Roman" w:cs="Times New Roman"/>
          <w:color w:val="000000"/>
          <w:sz w:val="24"/>
          <w:szCs w:val="24"/>
          <w:lang w:val="en-GB"/>
        </w:rPr>
        <w:t xml:space="preserve">, A., Imami, D., &amp; Zhllima, E. (2020) </w:t>
      </w:r>
      <w:proofErr w:type="spellStart"/>
      <w:r w:rsidRPr="00FD5ADD">
        <w:rPr>
          <w:rFonts w:ascii="Times New Roman" w:hAnsi="Times New Roman" w:cs="Times New Roman"/>
          <w:color w:val="000000"/>
          <w:sz w:val="24"/>
          <w:szCs w:val="24"/>
          <w:lang w:val="en-GB"/>
        </w:rPr>
        <w:t>Efekti</w:t>
      </w:r>
      <w:proofErr w:type="spellEnd"/>
      <w:r w:rsidRPr="00FD5ADD">
        <w:rPr>
          <w:rFonts w:ascii="Times New Roman" w:hAnsi="Times New Roman" w:cs="Times New Roman"/>
          <w:color w:val="000000"/>
          <w:sz w:val="24"/>
          <w:szCs w:val="24"/>
          <w:lang w:val="en-GB"/>
        </w:rPr>
        <w:t xml:space="preserve"> </w:t>
      </w:r>
      <w:proofErr w:type="spellStart"/>
      <w:r w:rsidRPr="00FD5ADD">
        <w:rPr>
          <w:rFonts w:ascii="Times New Roman" w:hAnsi="Times New Roman" w:cs="Times New Roman"/>
          <w:color w:val="000000"/>
          <w:sz w:val="24"/>
          <w:szCs w:val="24"/>
          <w:lang w:val="en-GB"/>
        </w:rPr>
        <w:t>i</w:t>
      </w:r>
      <w:proofErr w:type="spellEnd"/>
      <w:r w:rsidRPr="00FD5ADD">
        <w:rPr>
          <w:rFonts w:ascii="Times New Roman" w:hAnsi="Times New Roman" w:cs="Times New Roman"/>
          <w:color w:val="000000"/>
          <w:sz w:val="24"/>
          <w:szCs w:val="24"/>
          <w:lang w:val="en-GB"/>
        </w:rPr>
        <w:t xml:space="preserve"> </w:t>
      </w:r>
      <w:proofErr w:type="spellStart"/>
      <w:r w:rsidRPr="00FD5ADD">
        <w:rPr>
          <w:rFonts w:ascii="Times New Roman" w:hAnsi="Times New Roman" w:cs="Times New Roman"/>
          <w:color w:val="000000"/>
          <w:sz w:val="24"/>
          <w:szCs w:val="24"/>
          <w:lang w:val="en-GB"/>
        </w:rPr>
        <w:t>Pandemisë</w:t>
      </w:r>
      <w:proofErr w:type="spellEnd"/>
      <w:r w:rsidRPr="00FD5ADD">
        <w:rPr>
          <w:rFonts w:ascii="Times New Roman" w:hAnsi="Times New Roman" w:cs="Times New Roman"/>
          <w:color w:val="000000"/>
          <w:sz w:val="24"/>
          <w:szCs w:val="24"/>
          <w:lang w:val="en-GB"/>
        </w:rPr>
        <w:t xml:space="preserve"> </w:t>
      </w:r>
      <w:proofErr w:type="spellStart"/>
      <w:r w:rsidRPr="00FD5ADD">
        <w:rPr>
          <w:rFonts w:ascii="Times New Roman" w:hAnsi="Times New Roman" w:cs="Times New Roman"/>
          <w:color w:val="000000"/>
          <w:sz w:val="24"/>
          <w:szCs w:val="24"/>
          <w:lang w:val="en-GB"/>
        </w:rPr>
        <w:t>në</w:t>
      </w:r>
      <w:proofErr w:type="spellEnd"/>
      <w:r w:rsidRPr="00FD5ADD">
        <w:rPr>
          <w:rFonts w:ascii="Times New Roman" w:hAnsi="Times New Roman" w:cs="Times New Roman"/>
          <w:color w:val="000000"/>
          <w:sz w:val="24"/>
          <w:szCs w:val="24"/>
          <w:lang w:val="en-GB"/>
        </w:rPr>
        <w:t xml:space="preserve"> </w:t>
      </w:r>
      <w:proofErr w:type="spellStart"/>
      <w:r w:rsidRPr="00FD5ADD">
        <w:rPr>
          <w:rFonts w:ascii="Times New Roman" w:hAnsi="Times New Roman" w:cs="Times New Roman"/>
          <w:color w:val="000000"/>
          <w:sz w:val="24"/>
          <w:szCs w:val="24"/>
          <w:lang w:val="en-GB"/>
        </w:rPr>
        <w:t>Ekonominë</w:t>
      </w:r>
      <w:proofErr w:type="spellEnd"/>
      <w:r w:rsidRPr="00FD5ADD">
        <w:rPr>
          <w:rFonts w:ascii="Times New Roman" w:hAnsi="Times New Roman" w:cs="Times New Roman"/>
          <w:color w:val="000000"/>
          <w:sz w:val="24"/>
          <w:szCs w:val="24"/>
          <w:lang w:val="en-GB"/>
        </w:rPr>
        <w:t xml:space="preserve"> </w:t>
      </w:r>
      <w:proofErr w:type="spellStart"/>
      <w:r w:rsidRPr="00FD5ADD">
        <w:rPr>
          <w:rFonts w:ascii="Times New Roman" w:hAnsi="Times New Roman" w:cs="Times New Roman"/>
          <w:color w:val="000000"/>
          <w:sz w:val="24"/>
          <w:szCs w:val="24"/>
          <w:lang w:val="en-GB"/>
        </w:rPr>
        <w:t>Shqiptare</w:t>
      </w:r>
      <w:proofErr w:type="spellEnd"/>
      <w:r w:rsidRPr="00FD5ADD">
        <w:rPr>
          <w:rFonts w:ascii="Times New Roman" w:hAnsi="Times New Roman" w:cs="Times New Roman"/>
          <w:color w:val="000000"/>
          <w:sz w:val="24"/>
          <w:szCs w:val="24"/>
          <w:lang w:val="en-GB"/>
        </w:rPr>
        <w:t xml:space="preserve"> (Pandemic impact on the Albanian economy), </w:t>
      </w:r>
      <w:proofErr w:type="spellStart"/>
      <w:r w:rsidRPr="00FD5ADD">
        <w:rPr>
          <w:rFonts w:ascii="Times New Roman" w:hAnsi="Times New Roman" w:cs="Times New Roman"/>
          <w:color w:val="000000"/>
          <w:sz w:val="24"/>
          <w:szCs w:val="24"/>
          <w:lang w:val="en-GB"/>
        </w:rPr>
        <w:t>AlbShkenca</w:t>
      </w:r>
      <w:proofErr w:type="spellEnd"/>
      <w:r w:rsidRPr="00FD5ADD">
        <w:rPr>
          <w:rFonts w:ascii="Times New Roman" w:hAnsi="Times New Roman" w:cs="Times New Roman"/>
          <w:color w:val="000000"/>
          <w:sz w:val="24"/>
          <w:szCs w:val="24"/>
          <w:lang w:val="en-GB"/>
        </w:rPr>
        <w:t xml:space="preserve"> 15</w:t>
      </w:r>
      <w:r w:rsidRPr="00FD5ADD">
        <w:rPr>
          <w:rFonts w:ascii="Times New Roman" w:hAnsi="Times New Roman" w:cs="Times New Roman"/>
          <w:color w:val="000000"/>
          <w:sz w:val="24"/>
          <w:szCs w:val="24"/>
          <w:vertAlign w:val="superscript"/>
          <w:lang w:val="en-GB"/>
        </w:rPr>
        <w:t>th</w:t>
      </w:r>
      <w:r w:rsidRPr="00FD5ADD">
        <w:rPr>
          <w:rFonts w:ascii="Times New Roman" w:hAnsi="Times New Roman" w:cs="Times New Roman"/>
          <w:color w:val="000000"/>
          <w:sz w:val="24"/>
          <w:szCs w:val="24"/>
          <w:lang w:val="en-GB"/>
        </w:rPr>
        <w:t xml:space="preserve"> International Conference “The pandemic and our society’s coping with its effects”, Pristina, Kosovo</w:t>
      </w:r>
    </w:p>
    <w:p w14:paraId="3FB56727"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r w:rsidRPr="00FD5ADD">
        <w:rPr>
          <w:rFonts w:ascii="Times New Roman" w:hAnsi="Times New Roman" w:cs="Times New Roman"/>
          <w:color w:val="000000"/>
          <w:sz w:val="24"/>
          <w:szCs w:val="24"/>
          <w:lang w:val="en-GB"/>
        </w:rPr>
        <w:t>MARD (2020). Yearly report to DG Agri.</w:t>
      </w:r>
    </w:p>
    <w:p w14:paraId="2D432C4B"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r w:rsidRPr="00561FC0">
        <w:rPr>
          <w:rFonts w:ascii="Times New Roman" w:eastAsia="Calibri" w:hAnsi="Times New Roman" w:cs="Times New Roman"/>
          <w:sz w:val="24"/>
          <w:szCs w:val="24"/>
          <w:lang w:val="en-GB"/>
        </w:rPr>
        <w:t>Ministry of Agriculture and Rural Development</w:t>
      </w:r>
      <w:r w:rsidRPr="00FD5ADD">
        <w:rPr>
          <w:rFonts w:ascii="Times New Roman" w:eastAsia="Calibri" w:hAnsi="Times New Roman" w:cs="Times New Roman"/>
          <w:sz w:val="24"/>
          <w:szCs w:val="24"/>
          <w:lang w:val="en-GB"/>
        </w:rPr>
        <w:t xml:space="preserve"> (2020). Retrieved from: https://bujqesia.gov.al/pandemia-nuk-ndal-eksportet-e-fruta-perimeve-nga-shqiperia-cuci-viziton-pikat-e-grumbullimit-ne-lushnje-vetem-per-nente-mujorin-e-ketij-viti-kemi-rritje-me-18-ne-sasi-dhe-17-ne-vlere/</w:t>
      </w:r>
    </w:p>
    <w:p w14:paraId="05070D05"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r w:rsidRPr="00561FC0">
        <w:rPr>
          <w:rFonts w:ascii="Times New Roman" w:eastAsia="Calibri" w:hAnsi="Times New Roman" w:cs="Times New Roman"/>
          <w:sz w:val="24"/>
          <w:szCs w:val="24"/>
          <w:lang w:val="en-GB"/>
        </w:rPr>
        <w:t>Musabelliu,</w:t>
      </w:r>
      <w:r w:rsidRPr="00FD5ADD">
        <w:rPr>
          <w:rFonts w:ascii="Times New Roman" w:eastAsia="Calibri" w:hAnsi="Times New Roman" w:cs="Times New Roman"/>
          <w:sz w:val="24"/>
          <w:szCs w:val="24"/>
          <w:lang w:val="en-GB"/>
        </w:rPr>
        <w:t xml:space="preserve"> M. (2020). Albania economy briefing: Crippling economy and grim forecasts. Budapest: China - CEE Institute. Retrieved from: </w:t>
      </w:r>
      <w:hyperlink r:id="rId20" w:history="1">
        <w:r w:rsidRPr="00FD5ADD">
          <w:rPr>
            <w:rFonts w:ascii="Times New Roman" w:eastAsia="Calibri" w:hAnsi="Times New Roman" w:cs="Times New Roman"/>
            <w:sz w:val="24"/>
            <w:szCs w:val="24"/>
            <w:lang w:val="en-GB"/>
          </w:rPr>
          <w:t>https://china-cee.eu/wp-content/uploads/</w:t>
        </w:r>
      </w:hyperlink>
      <w:r w:rsidRPr="00FD5ADD">
        <w:rPr>
          <w:rFonts w:ascii="Times New Roman" w:eastAsia="Calibri" w:hAnsi="Times New Roman" w:cs="Times New Roman"/>
          <w:sz w:val="24"/>
          <w:szCs w:val="24"/>
          <w:lang w:val="en-GB"/>
        </w:rPr>
        <w:t xml:space="preserve"> 2020/05/2020e04_Albania.pdf</w:t>
      </w:r>
    </w:p>
    <w:p w14:paraId="3E511FBD"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r w:rsidRPr="00FD5ADD">
        <w:rPr>
          <w:rFonts w:ascii="Times New Roman" w:eastAsia="Calibri" w:hAnsi="Times New Roman" w:cs="Times New Roman"/>
          <w:sz w:val="24"/>
          <w:szCs w:val="24"/>
          <w:lang w:val="en-GB"/>
        </w:rPr>
        <w:t>Union of Albanian Business (2020). The Impact of the Covid-19 Pandemic on Enterprises in Albania.</w:t>
      </w:r>
    </w:p>
    <w:p w14:paraId="493B6D67" w14:textId="77777777" w:rsidR="00FD5ADD" w:rsidRPr="00FD5ADD" w:rsidRDefault="00FD5ADD" w:rsidP="00615603">
      <w:pPr>
        <w:autoSpaceDE w:val="0"/>
        <w:autoSpaceDN w:val="0"/>
        <w:adjustRightInd w:val="0"/>
        <w:spacing w:before="120" w:after="120" w:line="276" w:lineRule="auto"/>
        <w:ind w:left="360" w:hanging="360"/>
        <w:rPr>
          <w:rFonts w:ascii="Times New Roman" w:eastAsia="Calibri" w:hAnsi="Times New Roman" w:cs="Times New Roman"/>
          <w:sz w:val="24"/>
          <w:szCs w:val="24"/>
          <w:lang w:val="en-GB"/>
        </w:rPr>
      </w:pPr>
      <w:r w:rsidRPr="00FD5ADD">
        <w:rPr>
          <w:rFonts w:ascii="Times New Roman" w:eastAsia="Calibri" w:hAnsi="Times New Roman" w:cs="Times New Roman"/>
          <w:sz w:val="24"/>
          <w:szCs w:val="24"/>
          <w:lang w:val="en-GB"/>
        </w:rPr>
        <w:t xml:space="preserve">United Nations (2020). UN Albania Covid-19 Socio-Economic Recovery &amp; Response Plan. </w:t>
      </w:r>
    </w:p>
    <w:p w14:paraId="2C2E6CA5" w14:textId="2CC5C0FB" w:rsidR="00FB52CC" w:rsidRDefault="00FD5ADD" w:rsidP="00561FC0">
      <w:pPr>
        <w:autoSpaceDE w:val="0"/>
        <w:autoSpaceDN w:val="0"/>
        <w:adjustRightInd w:val="0"/>
        <w:spacing w:before="60" w:after="60" w:line="276" w:lineRule="auto"/>
        <w:ind w:left="360" w:hanging="360"/>
        <w:jc w:val="both"/>
        <w:rPr>
          <w:rFonts w:ascii="Times New Roman" w:eastAsia="Calibri" w:hAnsi="Times New Roman" w:cs="Times New Roman"/>
          <w:sz w:val="24"/>
          <w:szCs w:val="24"/>
          <w:lang w:val="en-GB"/>
        </w:rPr>
      </w:pPr>
      <w:r w:rsidRPr="00FD5ADD">
        <w:rPr>
          <w:rFonts w:ascii="Times New Roman" w:eastAsia="Calibri" w:hAnsi="Times New Roman" w:cs="Times New Roman"/>
          <w:sz w:val="24"/>
          <w:szCs w:val="24"/>
          <w:lang w:val="en-GB"/>
        </w:rPr>
        <w:t xml:space="preserve">Workie, E., </w:t>
      </w:r>
      <w:proofErr w:type="spellStart"/>
      <w:r w:rsidRPr="00FD5ADD">
        <w:rPr>
          <w:rFonts w:ascii="Times New Roman" w:eastAsia="Calibri" w:hAnsi="Times New Roman" w:cs="Times New Roman"/>
          <w:sz w:val="24"/>
          <w:szCs w:val="24"/>
          <w:lang w:val="en-GB"/>
        </w:rPr>
        <w:t>Mackolil</w:t>
      </w:r>
      <w:proofErr w:type="spellEnd"/>
      <w:r w:rsidRPr="00FD5ADD">
        <w:rPr>
          <w:rFonts w:ascii="Times New Roman" w:eastAsia="Calibri" w:hAnsi="Times New Roman" w:cs="Times New Roman"/>
          <w:sz w:val="24"/>
          <w:szCs w:val="24"/>
          <w:lang w:val="en-GB"/>
        </w:rPr>
        <w:t xml:space="preserve">, J., Nyika, J., &amp; </w:t>
      </w:r>
      <w:proofErr w:type="spellStart"/>
      <w:r w:rsidRPr="00FD5ADD">
        <w:rPr>
          <w:rFonts w:ascii="Times New Roman" w:eastAsia="Calibri" w:hAnsi="Times New Roman" w:cs="Times New Roman"/>
          <w:sz w:val="24"/>
          <w:szCs w:val="24"/>
          <w:lang w:val="en-GB"/>
        </w:rPr>
        <w:t>Ramadas</w:t>
      </w:r>
      <w:proofErr w:type="spellEnd"/>
      <w:r w:rsidRPr="00FD5ADD">
        <w:rPr>
          <w:rFonts w:ascii="Times New Roman" w:eastAsia="Calibri" w:hAnsi="Times New Roman" w:cs="Times New Roman"/>
          <w:sz w:val="24"/>
          <w:szCs w:val="24"/>
          <w:lang w:val="en-GB"/>
        </w:rPr>
        <w:t>, S. (2020). Deciphering the impact of Covid-19 pandemic on food security, agriculture, and livelihoods: A review of the evidence from developing countries. Current Research in Environmental Sustainability, 100014.</w:t>
      </w:r>
    </w:p>
    <w:p w14:paraId="713B44D3" w14:textId="5FE466E7" w:rsidR="0076715E" w:rsidRPr="00561FC0" w:rsidRDefault="005F1B5A" w:rsidP="0076715E">
      <w:pPr>
        <w:shd w:val="clear" w:color="auto" w:fill="FFFFFF"/>
        <w:spacing w:before="100" w:beforeAutospacing="1" w:after="100" w:afterAutospacing="1" w:line="240" w:lineRule="auto"/>
        <w:jc w:val="center"/>
        <w:rPr>
          <w:rFonts w:ascii="Times New Roman" w:eastAsia="Times New Roman" w:hAnsi="Times New Roman" w:cs="Times New Roman"/>
          <w:b/>
          <w:bCs/>
          <w:color w:val="222222"/>
          <w:sz w:val="28"/>
          <w:szCs w:val="28"/>
          <w:lang w:val="en-GB" w:eastAsia="sq-AL"/>
        </w:rPr>
      </w:pPr>
      <w:r w:rsidRPr="00561FC0">
        <w:rPr>
          <w:rFonts w:ascii="Times New Roman" w:eastAsia="Times New Roman" w:hAnsi="Times New Roman" w:cs="Times New Roman"/>
          <w:b/>
          <w:bCs/>
          <w:color w:val="222222"/>
          <w:sz w:val="28"/>
          <w:szCs w:val="28"/>
          <w:lang w:val="en-GB" w:eastAsia="sq-AL"/>
        </w:rPr>
        <w:lastRenderedPageBreak/>
        <w:t xml:space="preserve">Factors influencing students’ performance – the case of Agricultural University of Tirana </w:t>
      </w:r>
    </w:p>
    <w:p w14:paraId="09CC5149" w14:textId="77777777" w:rsidR="0076715E" w:rsidRPr="0076715E" w:rsidRDefault="0076715E" w:rsidP="0076715E">
      <w:pPr>
        <w:shd w:val="clear" w:color="auto" w:fill="FFFFFF"/>
        <w:spacing w:after="0" w:line="240" w:lineRule="auto"/>
        <w:jc w:val="center"/>
        <w:rPr>
          <w:rFonts w:ascii="Times New Roman" w:eastAsia="Times New Roman" w:hAnsi="Times New Roman" w:cs="Times New Roman"/>
          <w:b/>
          <w:bCs/>
          <w:color w:val="222222"/>
          <w:sz w:val="24"/>
          <w:szCs w:val="24"/>
          <w:lang w:val="en-GB" w:eastAsia="sq-AL"/>
        </w:rPr>
      </w:pPr>
      <w:r w:rsidRPr="0076715E">
        <w:rPr>
          <w:rFonts w:ascii="Times New Roman" w:eastAsia="Times New Roman" w:hAnsi="Times New Roman" w:cs="Times New Roman"/>
          <w:b/>
          <w:bCs/>
          <w:color w:val="222222"/>
          <w:sz w:val="24"/>
          <w:szCs w:val="24"/>
          <w:lang w:val="en-GB" w:eastAsia="sq-AL"/>
        </w:rPr>
        <w:t>Edmira Shahu</w:t>
      </w:r>
    </w:p>
    <w:p w14:paraId="7E571018" w14:textId="77777777" w:rsidR="0076715E" w:rsidRPr="0076715E" w:rsidRDefault="0076715E" w:rsidP="0076715E">
      <w:pPr>
        <w:spacing w:after="0"/>
        <w:jc w:val="center"/>
        <w:rPr>
          <w:rFonts w:ascii="Times New Roman" w:eastAsia="Calibri" w:hAnsi="Times New Roman" w:cs="Times New Roman"/>
          <w:color w:val="000000"/>
          <w:sz w:val="24"/>
          <w:szCs w:val="24"/>
          <w:highlight w:val="white"/>
          <w:lang w:val="en-GB"/>
        </w:rPr>
      </w:pPr>
      <w:r w:rsidRPr="0076715E">
        <w:rPr>
          <w:rFonts w:ascii="Times New Roman" w:eastAsia="Calibri" w:hAnsi="Times New Roman" w:cs="Times New Roman"/>
          <w:color w:val="000000"/>
          <w:sz w:val="24"/>
          <w:szCs w:val="24"/>
          <w:highlight w:val="white"/>
          <w:lang w:val="en-GB"/>
        </w:rPr>
        <w:t>Faculty of Economics and Agribusiness, Agriculture University of Tirana, Tirana, Albania.</w:t>
      </w:r>
    </w:p>
    <w:p w14:paraId="6D1159DC" w14:textId="77777777" w:rsidR="0076715E" w:rsidRPr="0076715E" w:rsidRDefault="0076715E" w:rsidP="0076715E">
      <w:pPr>
        <w:spacing w:after="120"/>
        <w:jc w:val="center"/>
        <w:rPr>
          <w:rFonts w:ascii="Times New Roman" w:eastAsia="Calibri" w:hAnsi="Times New Roman" w:cs="Times New Roman"/>
          <w:sz w:val="24"/>
          <w:szCs w:val="24"/>
          <w:lang w:val="en-GB"/>
        </w:rPr>
      </w:pPr>
      <w:r w:rsidRPr="0076715E">
        <w:rPr>
          <w:rFonts w:ascii="Times New Roman" w:eastAsia="Calibri" w:hAnsi="Times New Roman" w:cs="Times New Roman"/>
          <w:color w:val="000000"/>
          <w:sz w:val="24"/>
          <w:szCs w:val="24"/>
          <w:highlight w:val="white"/>
          <w:lang w:val="en-GB"/>
        </w:rPr>
        <w:t xml:space="preserve">E-mail: </w:t>
      </w:r>
      <w:hyperlink r:id="rId21" w:history="1">
        <w:r w:rsidRPr="0076715E">
          <w:rPr>
            <w:rFonts w:ascii="Times New Roman" w:eastAsia="Calibri" w:hAnsi="Times New Roman" w:cs="Times New Roman"/>
            <w:color w:val="0563C1"/>
            <w:sz w:val="24"/>
            <w:szCs w:val="24"/>
            <w:highlight w:val="white"/>
            <w:u w:val="single"/>
            <w:lang w:val="en-GB"/>
          </w:rPr>
          <w:t>eozuni@ubt.edu.al</w:t>
        </w:r>
      </w:hyperlink>
    </w:p>
    <w:p w14:paraId="3090D087" w14:textId="77777777" w:rsidR="005D7330" w:rsidRPr="0076715E" w:rsidRDefault="005D7330" w:rsidP="005D7330">
      <w:pPr>
        <w:shd w:val="clear" w:color="auto" w:fill="FFFFFF"/>
        <w:spacing w:after="0" w:line="240" w:lineRule="auto"/>
        <w:jc w:val="center"/>
        <w:rPr>
          <w:rFonts w:ascii="Times New Roman" w:eastAsia="Times New Roman" w:hAnsi="Times New Roman" w:cs="Times New Roman"/>
          <w:b/>
          <w:bCs/>
          <w:color w:val="222222"/>
          <w:sz w:val="24"/>
          <w:szCs w:val="24"/>
          <w:lang w:val="en-GB" w:eastAsia="sq-AL"/>
        </w:rPr>
      </w:pPr>
      <w:r w:rsidRPr="0076715E">
        <w:rPr>
          <w:rFonts w:ascii="Times New Roman" w:eastAsia="Times New Roman" w:hAnsi="Times New Roman" w:cs="Times New Roman"/>
          <w:b/>
          <w:bCs/>
          <w:color w:val="222222"/>
          <w:sz w:val="24"/>
          <w:szCs w:val="24"/>
          <w:lang w:val="en-GB" w:eastAsia="sq-AL"/>
        </w:rPr>
        <w:t>Aurora Hoxha</w:t>
      </w:r>
    </w:p>
    <w:p w14:paraId="3E9C9F43" w14:textId="77777777" w:rsidR="005D7330" w:rsidRPr="0076715E" w:rsidRDefault="005D7330" w:rsidP="005D7330">
      <w:pPr>
        <w:spacing w:after="0"/>
        <w:jc w:val="center"/>
        <w:rPr>
          <w:rFonts w:ascii="Times New Roman" w:eastAsia="Calibri" w:hAnsi="Times New Roman" w:cs="Times New Roman"/>
          <w:color w:val="000000"/>
          <w:sz w:val="24"/>
          <w:szCs w:val="24"/>
          <w:highlight w:val="white"/>
          <w:lang w:val="en-GB"/>
        </w:rPr>
      </w:pPr>
      <w:r w:rsidRPr="0076715E">
        <w:rPr>
          <w:rFonts w:ascii="Times New Roman" w:eastAsia="Calibri" w:hAnsi="Times New Roman" w:cs="Times New Roman"/>
          <w:color w:val="000000"/>
          <w:sz w:val="24"/>
          <w:szCs w:val="24"/>
          <w:highlight w:val="white"/>
          <w:lang w:val="en-GB"/>
        </w:rPr>
        <w:t>Faculty of Economics and Agribusiness, Agriculture University of Tirana, Tirana, Albania.</w:t>
      </w:r>
    </w:p>
    <w:p w14:paraId="1996AD7A" w14:textId="77777777" w:rsidR="005D7330" w:rsidRPr="0076715E" w:rsidRDefault="005D7330" w:rsidP="005D7330">
      <w:pPr>
        <w:spacing w:after="120"/>
        <w:jc w:val="center"/>
        <w:rPr>
          <w:rFonts w:ascii="Times New Roman" w:eastAsia="Calibri" w:hAnsi="Times New Roman" w:cs="Times New Roman"/>
          <w:sz w:val="24"/>
          <w:szCs w:val="24"/>
          <w:lang w:val="en-GB"/>
        </w:rPr>
      </w:pPr>
      <w:r w:rsidRPr="0076715E">
        <w:rPr>
          <w:rFonts w:ascii="Times New Roman" w:eastAsia="Calibri" w:hAnsi="Times New Roman" w:cs="Times New Roman"/>
          <w:color w:val="000000"/>
          <w:sz w:val="24"/>
          <w:szCs w:val="24"/>
          <w:highlight w:val="white"/>
          <w:lang w:val="en-GB"/>
        </w:rPr>
        <w:t xml:space="preserve">E-mail: </w:t>
      </w:r>
      <w:hyperlink r:id="rId22" w:history="1">
        <w:r w:rsidRPr="0076715E">
          <w:rPr>
            <w:rFonts w:ascii="Times New Roman" w:eastAsia="Calibri" w:hAnsi="Times New Roman" w:cs="Times New Roman"/>
            <w:color w:val="0563C1"/>
            <w:sz w:val="24"/>
            <w:szCs w:val="24"/>
            <w:highlight w:val="white"/>
            <w:u w:val="single"/>
            <w:lang w:val="en-GB"/>
          </w:rPr>
          <w:t>ahoxha@ubt.edu.al</w:t>
        </w:r>
      </w:hyperlink>
    </w:p>
    <w:p w14:paraId="4DB1318D" w14:textId="77777777" w:rsidR="0076715E" w:rsidRPr="0076715E" w:rsidRDefault="0076715E" w:rsidP="0076715E">
      <w:pPr>
        <w:spacing w:after="0"/>
        <w:jc w:val="center"/>
        <w:rPr>
          <w:rFonts w:ascii="Times New Roman" w:eastAsia="Calibri" w:hAnsi="Times New Roman" w:cs="Times New Roman"/>
          <w:color w:val="000000"/>
          <w:sz w:val="24"/>
          <w:szCs w:val="24"/>
          <w:highlight w:val="white"/>
          <w:lang w:val="en-GB"/>
        </w:rPr>
      </w:pPr>
    </w:p>
    <w:p w14:paraId="21C6C5F7" w14:textId="77777777" w:rsidR="0076715E" w:rsidRPr="0076715E" w:rsidRDefault="0076715E" w:rsidP="0076715E">
      <w:pPr>
        <w:shd w:val="clear" w:color="auto" w:fill="FFFFFF"/>
        <w:spacing w:after="0" w:line="240" w:lineRule="auto"/>
        <w:jc w:val="center"/>
        <w:rPr>
          <w:rFonts w:ascii="Times New Roman" w:eastAsia="Times New Roman" w:hAnsi="Times New Roman" w:cs="Times New Roman"/>
          <w:b/>
          <w:bCs/>
          <w:color w:val="222222"/>
          <w:sz w:val="24"/>
          <w:szCs w:val="24"/>
          <w:lang w:val="en-GB" w:eastAsia="sq-AL"/>
        </w:rPr>
      </w:pPr>
      <w:r w:rsidRPr="0076715E">
        <w:rPr>
          <w:rFonts w:ascii="Times New Roman" w:eastAsia="Times New Roman" w:hAnsi="Times New Roman" w:cs="Times New Roman"/>
          <w:b/>
          <w:bCs/>
          <w:color w:val="222222"/>
          <w:sz w:val="24"/>
          <w:szCs w:val="24"/>
          <w:lang w:val="en-GB" w:eastAsia="sq-AL"/>
        </w:rPr>
        <w:t>Jona Mulliri</w:t>
      </w:r>
    </w:p>
    <w:p w14:paraId="61A5631B" w14:textId="77777777" w:rsidR="0076715E" w:rsidRPr="0076715E" w:rsidRDefault="0076715E" w:rsidP="0076715E">
      <w:pPr>
        <w:spacing w:after="0"/>
        <w:jc w:val="center"/>
        <w:rPr>
          <w:rFonts w:ascii="Times New Roman" w:eastAsia="Calibri" w:hAnsi="Times New Roman" w:cs="Times New Roman"/>
          <w:color w:val="000000"/>
          <w:sz w:val="24"/>
          <w:szCs w:val="24"/>
          <w:highlight w:val="white"/>
          <w:lang w:val="en-GB"/>
        </w:rPr>
      </w:pPr>
      <w:r w:rsidRPr="0076715E">
        <w:rPr>
          <w:rFonts w:ascii="Times New Roman" w:eastAsia="Calibri" w:hAnsi="Times New Roman" w:cs="Times New Roman"/>
          <w:color w:val="000000"/>
          <w:sz w:val="24"/>
          <w:szCs w:val="24"/>
          <w:highlight w:val="white"/>
          <w:lang w:val="en-GB"/>
        </w:rPr>
        <w:t>Faculty of Economics and Agribusiness, Agriculture University of Tirana, Tirana, Albania.</w:t>
      </w:r>
    </w:p>
    <w:p w14:paraId="20D7DC80" w14:textId="77777777" w:rsidR="0076715E" w:rsidRPr="0076715E" w:rsidRDefault="0076715E" w:rsidP="0076715E">
      <w:pPr>
        <w:spacing w:after="120"/>
        <w:jc w:val="center"/>
        <w:rPr>
          <w:rFonts w:ascii="Times New Roman" w:eastAsia="Calibri" w:hAnsi="Times New Roman" w:cs="Times New Roman"/>
          <w:sz w:val="24"/>
          <w:szCs w:val="24"/>
          <w:lang w:val="en-GB"/>
        </w:rPr>
      </w:pPr>
      <w:r w:rsidRPr="0076715E">
        <w:rPr>
          <w:rFonts w:ascii="Times New Roman" w:eastAsia="Calibri" w:hAnsi="Times New Roman" w:cs="Times New Roman"/>
          <w:color w:val="000000"/>
          <w:sz w:val="24"/>
          <w:szCs w:val="24"/>
          <w:highlight w:val="white"/>
          <w:lang w:val="en-GB"/>
        </w:rPr>
        <w:t xml:space="preserve">E-mail: </w:t>
      </w:r>
      <w:hyperlink r:id="rId23" w:history="1">
        <w:r w:rsidRPr="0076715E">
          <w:rPr>
            <w:rFonts w:ascii="Times New Roman" w:eastAsia="Calibri" w:hAnsi="Times New Roman" w:cs="Times New Roman"/>
            <w:color w:val="0563C1"/>
            <w:sz w:val="24"/>
            <w:szCs w:val="24"/>
            <w:highlight w:val="white"/>
            <w:u w:val="single"/>
            <w:lang w:val="en-GB"/>
          </w:rPr>
          <w:t>jmulliri@ubt.edu.al</w:t>
        </w:r>
      </w:hyperlink>
    </w:p>
    <w:p w14:paraId="594A5C9D" w14:textId="77777777" w:rsidR="0076715E" w:rsidRPr="0076715E" w:rsidRDefault="0076715E" w:rsidP="0076715E">
      <w:pPr>
        <w:spacing w:after="0"/>
        <w:jc w:val="center"/>
        <w:rPr>
          <w:rFonts w:ascii="Times New Roman" w:eastAsia="Calibri" w:hAnsi="Times New Roman" w:cs="Times New Roman"/>
          <w:color w:val="000000"/>
          <w:sz w:val="24"/>
          <w:szCs w:val="24"/>
          <w:highlight w:val="white"/>
          <w:lang w:val="en-GB"/>
        </w:rPr>
      </w:pPr>
    </w:p>
    <w:p w14:paraId="14CFC7EF" w14:textId="77777777" w:rsidR="0076715E" w:rsidRPr="0076715E" w:rsidRDefault="0076715E" w:rsidP="0076715E">
      <w:pPr>
        <w:shd w:val="clear" w:color="auto" w:fill="FFFFFF"/>
        <w:spacing w:after="0" w:line="240" w:lineRule="auto"/>
        <w:jc w:val="center"/>
        <w:rPr>
          <w:rFonts w:ascii="Times New Roman" w:eastAsia="Times New Roman" w:hAnsi="Times New Roman" w:cs="Times New Roman"/>
          <w:b/>
          <w:bCs/>
          <w:color w:val="222222"/>
          <w:sz w:val="24"/>
          <w:szCs w:val="24"/>
          <w:lang w:val="en-GB" w:eastAsia="sq-AL"/>
        </w:rPr>
      </w:pPr>
      <w:r w:rsidRPr="0076715E">
        <w:rPr>
          <w:rFonts w:ascii="Times New Roman" w:eastAsia="Times New Roman" w:hAnsi="Times New Roman" w:cs="Times New Roman"/>
          <w:b/>
          <w:bCs/>
          <w:color w:val="222222"/>
          <w:sz w:val="24"/>
          <w:szCs w:val="24"/>
          <w:lang w:val="en-GB" w:eastAsia="sq-AL"/>
        </w:rPr>
        <w:t>Edvin Zhllima</w:t>
      </w:r>
    </w:p>
    <w:p w14:paraId="0235C796" w14:textId="77777777" w:rsidR="0076715E" w:rsidRPr="0076715E" w:rsidRDefault="0076715E" w:rsidP="0076715E">
      <w:pPr>
        <w:spacing w:after="0"/>
        <w:jc w:val="center"/>
        <w:rPr>
          <w:rFonts w:ascii="Times New Roman" w:eastAsia="Calibri" w:hAnsi="Times New Roman" w:cs="Times New Roman"/>
          <w:color w:val="000000"/>
          <w:sz w:val="24"/>
          <w:szCs w:val="24"/>
          <w:highlight w:val="white"/>
          <w:lang w:val="en-GB"/>
        </w:rPr>
      </w:pPr>
      <w:r w:rsidRPr="0076715E">
        <w:rPr>
          <w:rFonts w:ascii="Times New Roman" w:eastAsia="Calibri" w:hAnsi="Times New Roman" w:cs="Times New Roman"/>
          <w:color w:val="000000"/>
          <w:sz w:val="24"/>
          <w:szCs w:val="24"/>
          <w:highlight w:val="white"/>
          <w:lang w:val="en-GB"/>
        </w:rPr>
        <w:t>Faculty of Economics and Agribusiness, Agriculture University of Tirana, Tirana, Albania.</w:t>
      </w:r>
    </w:p>
    <w:p w14:paraId="64367BF7" w14:textId="77777777" w:rsidR="0076715E" w:rsidRPr="0076715E" w:rsidRDefault="0076715E" w:rsidP="0076715E">
      <w:pPr>
        <w:spacing w:after="120"/>
        <w:jc w:val="center"/>
        <w:rPr>
          <w:rFonts w:ascii="Times New Roman" w:eastAsia="Calibri" w:hAnsi="Times New Roman" w:cs="Times New Roman"/>
          <w:sz w:val="24"/>
          <w:szCs w:val="24"/>
          <w:lang w:val="en-GB"/>
        </w:rPr>
      </w:pPr>
      <w:r w:rsidRPr="0076715E">
        <w:rPr>
          <w:rFonts w:ascii="Times New Roman" w:eastAsia="Calibri" w:hAnsi="Times New Roman" w:cs="Times New Roman"/>
          <w:color w:val="000000"/>
          <w:sz w:val="24"/>
          <w:szCs w:val="24"/>
          <w:highlight w:val="white"/>
          <w:lang w:val="en-GB"/>
        </w:rPr>
        <w:t xml:space="preserve">E-mail: </w:t>
      </w:r>
      <w:hyperlink r:id="rId24">
        <w:r w:rsidRPr="0076715E">
          <w:rPr>
            <w:rFonts w:ascii="Times New Roman" w:eastAsia="Calibri" w:hAnsi="Times New Roman" w:cs="Times New Roman"/>
            <w:color w:val="0000FF"/>
            <w:sz w:val="24"/>
            <w:szCs w:val="24"/>
            <w:highlight w:val="white"/>
            <w:u w:val="single"/>
            <w:lang w:val="en-GB"/>
          </w:rPr>
          <w:t>ezhllima@ubt.edu.al</w:t>
        </w:r>
      </w:hyperlink>
    </w:p>
    <w:p w14:paraId="193E8E99" w14:textId="77777777" w:rsidR="0076715E" w:rsidRPr="0076715E" w:rsidRDefault="0076715E" w:rsidP="0076715E">
      <w:pPr>
        <w:spacing w:after="0"/>
        <w:jc w:val="center"/>
        <w:rPr>
          <w:rFonts w:ascii="Times New Roman" w:eastAsia="Calibri" w:hAnsi="Times New Roman" w:cs="Times New Roman"/>
          <w:color w:val="000000"/>
          <w:sz w:val="24"/>
          <w:szCs w:val="24"/>
          <w:highlight w:val="white"/>
          <w:lang w:val="en-GB"/>
        </w:rPr>
      </w:pPr>
    </w:p>
    <w:p w14:paraId="0FF1423A" w14:textId="77777777" w:rsidR="0076715E" w:rsidRPr="0076715E" w:rsidRDefault="0076715E" w:rsidP="0076715E">
      <w:pPr>
        <w:shd w:val="clear" w:color="auto" w:fill="FFFFFF"/>
        <w:spacing w:after="0" w:line="240" w:lineRule="auto"/>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 xml:space="preserve"> </w:t>
      </w:r>
    </w:p>
    <w:p w14:paraId="358658DA" w14:textId="77777777" w:rsidR="0076715E" w:rsidRPr="0076715E" w:rsidRDefault="0076715E" w:rsidP="0076715E">
      <w:pPr>
        <w:shd w:val="clear" w:color="auto" w:fill="FFFFFF"/>
        <w:spacing w:before="100" w:beforeAutospacing="1" w:after="0" w:line="240" w:lineRule="auto"/>
        <w:jc w:val="center"/>
        <w:rPr>
          <w:rFonts w:ascii="Times New Roman" w:eastAsia="Times New Roman" w:hAnsi="Times New Roman" w:cs="Times New Roman"/>
          <w:b/>
          <w:color w:val="222222"/>
          <w:sz w:val="24"/>
          <w:szCs w:val="24"/>
          <w:lang w:val="en-GB" w:eastAsia="sq-AL"/>
        </w:rPr>
      </w:pPr>
    </w:p>
    <w:p w14:paraId="7E0B7C5B" w14:textId="77777777" w:rsidR="0076715E" w:rsidRPr="0076715E" w:rsidRDefault="0076715E" w:rsidP="0076715E">
      <w:pPr>
        <w:shd w:val="clear" w:color="auto" w:fill="FFFFFF"/>
        <w:spacing w:after="100" w:afterAutospacing="1" w:line="276" w:lineRule="auto"/>
        <w:jc w:val="both"/>
        <w:rPr>
          <w:rFonts w:ascii="Times New Roman" w:eastAsia="Times New Roman" w:hAnsi="Times New Roman" w:cs="Times New Roman"/>
          <w:b/>
          <w:sz w:val="28"/>
          <w:szCs w:val="28"/>
          <w:lang w:val="en-GB" w:eastAsia="sq-AL"/>
        </w:rPr>
      </w:pPr>
      <w:bookmarkStart w:id="23" w:name="_Hlk81333994"/>
      <w:r w:rsidRPr="0076715E">
        <w:rPr>
          <w:rFonts w:ascii="Times New Roman" w:eastAsia="Times New Roman" w:hAnsi="Times New Roman" w:cs="Times New Roman"/>
          <w:b/>
          <w:sz w:val="28"/>
          <w:szCs w:val="28"/>
          <w:lang w:val="en-GB" w:eastAsia="sq-AL"/>
        </w:rPr>
        <w:t>Abstract</w:t>
      </w:r>
    </w:p>
    <w:p w14:paraId="19AEB51C" w14:textId="03931D31"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sz w:val="24"/>
          <w:szCs w:val="24"/>
          <w:lang w:val="en-GB" w:eastAsia="sq-AL"/>
        </w:rPr>
        <w:t xml:space="preserve">Increasing the quality of teaching and obtaining a better learning outcome/result is an important priority for higher education institutions. Despite the importance, there is a lack of evidence on factors influencing the </w:t>
      </w:r>
      <w:r w:rsidR="005B5F8E">
        <w:rPr>
          <w:rFonts w:ascii="Times New Roman" w:eastAsia="Times New Roman" w:hAnsi="Times New Roman" w:cs="Times New Roman"/>
          <w:sz w:val="24"/>
          <w:szCs w:val="24"/>
          <w:lang w:val="en-GB" w:eastAsia="sq-AL"/>
        </w:rPr>
        <w:t>student’s</w:t>
      </w:r>
      <w:r w:rsidRPr="0076715E">
        <w:rPr>
          <w:rFonts w:ascii="Times New Roman" w:eastAsia="Times New Roman" w:hAnsi="Times New Roman" w:cs="Times New Roman"/>
          <w:sz w:val="24"/>
          <w:szCs w:val="24"/>
          <w:lang w:val="en-GB" w:eastAsia="sq-AL"/>
        </w:rPr>
        <w:t xml:space="preserve"> performance in the case of Albania. This paper aims to fill this gap by studying the factors that affect student performance in Albania focusing on the Agricultural University of Tirana. The analysis is based on data collected from the GRADUA platform (which provides a new and unique database on students’ performance and career expectations) as well as administrative data obtained at the Agricultural University of Tirana. Results of the analysis show a significant and positive association of students performance level not only related to the high school average but also the employment of the student in the labour market during the study period, percentage of attendance in lecturing hours as well as previous student motives in pursuing the study program. Findings reveal clear differences according to gender and provide evidence for interventions at policy level and institutional restructuring of the University strategic management with focus on the role of university administration as well as teaching personnel. </w:t>
      </w:r>
    </w:p>
    <w:p w14:paraId="22D4C2D3" w14:textId="777F29E3" w:rsidR="0076715E" w:rsidRPr="0076715E" w:rsidRDefault="0076715E" w:rsidP="00561FC0">
      <w:pPr>
        <w:spacing w:before="120" w:after="120" w:line="276" w:lineRule="auto"/>
        <w:jc w:val="both"/>
        <w:rPr>
          <w:rFonts w:ascii="Times New Roman" w:eastAsia="Times New Roman" w:hAnsi="Times New Roman" w:cs="Times New Roman"/>
          <w:b/>
          <w:color w:val="222222"/>
          <w:sz w:val="24"/>
          <w:szCs w:val="24"/>
          <w:lang w:val="en-GB" w:eastAsia="sq-AL"/>
        </w:rPr>
      </w:pPr>
      <w:r w:rsidRPr="0076715E">
        <w:rPr>
          <w:rFonts w:ascii="Times New Roman" w:eastAsia="Calibri" w:hAnsi="Times New Roman" w:cs="Times New Roman"/>
          <w:b/>
          <w:bCs/>
          <w:sz w:val="24"/>
          <w:szCs w:val="24"/>
          <w:lang w:val="en-GB"/>
        </w:rPr>
        <w:t>Keywords:</w:t>
      </w:r>
      <w:r w:rsidRPr="0076715E">
        <w:rPr>
          <w:rFonts w:ascii="Times New Roman" w:eastAsia="Calibri" w:hAnsi="Times New Roman" w:cs="Times New Roman"/>
          <w:sz w:val="24"/>
          <w:szCs w:val="24"/>
          <w:lang w:val="en-GB"/>
        </w:rPr>
        <w:t xml:space="preserve"> Student performance, correlation analysis, motivation, attendance, gender.</w:t>
      </w:r>
    </w:p>
    <w:p w14:paraId="5742D99D"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b/>
          <w:color w:val="222222"/>
          <w:sz w:val="24"/>
          <w:szCs w:val="24"/>
          <w:lang w:val="en-GB" w:eastAsia="sq-AL"/>
        </w:rPr>
      </w:pPr>
    </w:p>
    <w:p w14:paraId="251CA41B" w14:textId="414488A1" w:rsidR="0076715E" w:rsidRPr="00C603A7" w:rsidRDefault="0076715E" w:rsidP="0076715E">
      <w:pPr>
        <w:pStyle w:val="ListParagraph"/>
        <w:numPr>
          <w:ilvl w:val="0"/>
          <w:numId w:val="4"/>
        </w:numPr>
        <w:shd w:val="clear" w:color="auto" w:fill="FFFFFF"/>
        <w:spacing w:after="100" w:afterAutospacing="1" w:line="276" w:lineRule="auto"/>
        <w:jc w:val="both"/>
        <w:rPr>
          <w:rFonts w:ascii="Times New Roman" w:hAnsi="Times New Roman" w:cs="Times New Roman"/>
          <w:b/>
          <w:color w:val="222222"/>
          <w:sz w:val="28"/>
          <w:szCs w:val="28"/>
          <w:lang w:eastAsia="sq-AL"/>
        </w:rPr>
      </w:pPr>
      <w:r w:rsidRPr="00C603A7">
        <w:rPr>
          <w:rFonts w:ascii="Times New Roman" w:hAnsi="Times New Roman" w:cs="Times New Roman"/>
          <w:b/>
          <w:color w:val="222222"/>
          <w:sz w:val="28"/>
          <w:szCs w:val="28"/>
          <w:lang w:eastAsia="sq-AL"/>
        </w:rPr>
        <w:t>Introduction</w:t>
      </w:r>
    </w:p>
    <w:p w14:paraId="56D064BE" w14:textId="77777777" w:rsidR="0076715E" w:rsidRPr="0076715E" w:rsidRDefault="0076715E" w:rsidP="0076715E">
      <w:pPr>
        <w:autoSpaceDE w:val="0"/>
        <w:autoSpaceDN w:val="0"/>
        <w:adjustRightInd w:val="0"/>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Times New Roman" w:hAnsi="Times New Roman" w:cs="Times New Roman"/>
          <w:sz w:val="24"/>
          <w:szCs w:val="24"/>
          <w:lang w:val="en-GB" w:eastAsia="sq-AL"/>
        </w:rPr>
        <w:lastRenderedPageBreak/>
        <w:t xml:space="preserve">Student performance at universities is a crucial element for the youth integration in the labour market. Scrutinising the possible determinants of students’ performance is vital to policymakers and researchers as well as academic institutions when designing their strategic plans </w:t>
      </w:r>
      <w:sdt>
        <w:sdtPr>
          <w:rPr>
            <w:rFonts w:ascii="Times New Roman" w:eastAsia="Times New Roman" w:hAnsi="Times New Roman" w:cs="Times New Roman"/>
            <w:sz w:val="24"/>
            <w:szCs w:val="24"/>
            <w:lang w:val="en-GB" w:eastAsia="sq-AL"/>
          </w:rPr>
          <w:id w:val="-982226041"/>
          <w:citation/>
        </w:sdtPr>
        <w:sdtContent>
          <w:r w:rsidRPr="0076715E">
            <w:rPr>
              <w:rFonts w:ascii="Times New Roman" w:eastAsia="Times New Roman" w:hAnsi="Times New Roman" w:cs="Times New Roman"/>
              <w:sz w:val="24"/>
              <w:szCs w:val="24"/>
              <w:lang w:val="en-GB" w:eastAsia="sq-AL"/>
            </w:rPr>
            <w:fldChar w:fldCharType="begin"/>
          </w:r>
          <w:r w:rsidRPr="0076715E">
            <w:rPr>
              <w:rFonts w:ascii="Times New Roman" w:eastAsia="Times New Roman" w:hAnsi="Times New Roman" w:cs="Times New Roman"/>
              <w:sz w:val="24"/>
              <w:szCs w:val="24"/>
              <w:lang w:val="en-GB" w:eastAsia="sq-AL"/>
            </w:rPr>
            <w:instrText xml:space="preserve">CITATION Fra05 \l 1033 </w:instrText>
          </w:r>
          <w:r w:rsidRPr="0076715E">
            <w:rPr>
              <w:rFonts w:ascii="Times New Roman" w:eastAsia="Times New Roman" w:hAnsi="Times New Roman" w:cs="Times New Roman"/>
              <w:sz w:val="24"/>
              <w:szCs w:val="24"/>
              <w:lang w:val="en-GB" w:eastAsia="sq-AL"/>
            </w:rPr>
            <w:fldChar w:fldCharType="separate"/>
          </w:r>
          <w:r w:rsidRPr="0076715E">
            <w:rPr>
              <w:rFonts w:ascii="Times New Roman" w:eastAsia="Times New Roman" w:hAnsi="Times New Roman" w:cs="Times New Roman"/>
              <w:noProof/>
              <w:sz w:val="24"/>
              <w:szCs w:val="24"/>
              <w:lang w:val="en-GB" w:eastAsia="sq-AL"/>
            </w:rPr>
            <w:t>(Fraser, W., Killen, R., 2005)</w:t>
          </w:r>
          <w:r w:rsidRPr="0076715E">
            <w:rPr>
              <w:rFonts w:ascii="Times New Roman" w:eastAsia="Times New Roman" w:hAnsi="Times New Roman" w:cs="Times New Roman"/>
              <w:sz w:val="24"/>
              <w:szCs w:val="24"/>
              <w:lang w:val="en-GB" w:eastAsia="sq-AL"/>
            </w:rPr>
            <w:fldChar w:fldCharType="end"/>
          </w:r>
        </w:sdtContent>
      </w:sdt>
      <w:r w:rsidRPr="0076715E">
        <w:rPr>
          <w:rFonts w:ascii="Times New Roman" w:eastAsia="Times New Roman" w:hAnsi="Times New Roman" w:cs="Times New Roman"/>
          <w:sz w:val="24"/>
          <w:szCs w:val="24"/>
          <w:lang w:val="en-GB" w:eastAsia="sq-AL"/>
        </w:rPr>
        <w:t>. The understanding (assessment) of the factors which influence students’ performance, is very important for policy-makers to prepare a successful transition for youth from the secondary level to tertiary level, where the most important focus remains the admissions policies. In addition, universities are responsible to adopt different policies for attracting enrolments and orienting graduates as well as special interventions for increasing capacities of teaching and supporting staff, by first examining the way how students’ performance is influenced.</w:t>
      </w:r>
    </w:p>
    <w:p w14:paraId="13B5AB10" w14:textId="77777777" w:rsidR="0076715E" w:rsidRPr="0076715E" w:rsidRDefault="0076715E" w:rsidP="0076715E">
      <w:pPr>
        <w:autoSpaceDE w:val="0"/>
        <w:autoSpaceDN w:val="0"/>
        <w:adjustRightInd w:val="0"/>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Calibri" w:hAnsi="Times New Roman" w:cs="Times New Roman"/>
          <w:sz w:val="24"/>
          <w:szCs w:val="24"/>
          <w:lang w:val="en-GB"/>
        </w:rPr>
        <w:t xml:space="preserve">There are various academic, social, emotional, cultural and financial factors that impact students entry and performance, factors which frequently appear to be interdependent in terms of influence (Nel et al, 2009; Pennington et al, 2018). </w:t>
      </w:r>
    </w:p>
    <w:p w14:paraId="3B7036B7" w14:textId="77777777" w:rsidR="0076715E" w:rsidRPr="0076715E" w:rsidRDefault="0076715E" w:rsidP="0076715E">
      <w:pPr>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Times New Roman" w:hAnsi="Times New Roman" w:cs="Times New Roman"/>
          <w:sz w:val="24"/>
          <w:szCs w:val="24"/>
          <w:lang w:val="en-GB" w:eastAsia="sq-AL"/>
        </w:rPr>
        <w:t xml:space="preserve">This paper aims to explore the role of factors influencing the university students’ performance, in the context of a post/socialist country, namely the case of Albania.  Albania is chosen due to being subject of several reforms happening to the legal and institutional components of the higher education system. Albanian higher education has gone through several important stages in the recent three decades. Before the 1990s there was a total lack of autonomy, while during the years 1990-1994 the signed the beginning of tertiary education liberalisation (Zhllima et al, 2018). However, the autonomy was at a non-significant stage (FRRHESR, 2014). The new Law on Higher Education in 1999 came as a necessity to allow and regulate the development of the Higher Education system and all its constituent components, in this law was defined for the first time "quality assurance system". During 2003, Albania officially joined the Bologna process, which was fostered a process of review and adaptation of higher education curricula according to this system, the conception of ECTS and their implementation. Yet, during this period the state dominated, and university autonomy was at an insignificant stage (FRRHESR, 2014). The process of liberalisation of higher education, combined with a change of labour market circumstances, was accompanied with an increased demand for students to pursue a university education. The access to tertiary education increased significantly after 2005, with the opening of many new study programs, the development of private universities and the expansion of study programmes on part-time basis (Ekonomi et al, 2005). However, the educational policy during the period 2004-2013 brought a large and rapid licensing of universities which negatively affected students’ quality (Kajsiu, 2015). Later, reforms happening in the system during 2014-2015, brought the closure of the enrolments on part time basis, opened a process of programmes certification and halted the doctoral programmes. </w:t>
      </w:r>
    </w:p>
    <w:p w14:paraId="5AEFE345"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Times New Roman" w:hAnsi="Times New Roman" w:cs="Times New Roman"/>
          <w:sz w:val="24"/>
          <w:szCs w:val="24"/>
          <w:lang w:val="en-GB" w:eastAsia="sq-AL"/>
        </w:rPr>
        <w:t xml:space="preserve">Despite these important reforms, to the best of the authors knowledge, there is no study based on large scale observations, ever carried in Albania in the recent decades focused on student performance and determinant factors. Previous studies have evaluated the situation at secondary education (Shahini, 2021), provided estimates on education transition (Ekonomi, et al, 2005; De Brujin et al, 2015) or have been focused on students access to education (Zhllima et al, 2018). This </w:t>
      </w:r>
      <w:r w:rsidRPr="0076715E">
        <w:rPr>
          <w:rFonts w:ascii="Times New Roman" w:eastAsia="Times New Roman" w:hAnsi="Times New Roman" w:cs="Times New Roman"/>
          <w:sz w:val="24"/>
          <w:szCs w:val="24"/>
          <w:lang w:val="en-GB" w:eastAsia="sq-AL"/>
        </w:rPr>
        <w:lastRenderedPageBreak/>
        <w:t xml:space="preserve">paper aims to fill this gap by studying the factors that affect student performance in public university. The study is based on observations collected at Agricultural University of Tirana (AUT) (one of the largest universities in Albania) using the GRADUA platform. This platform has enrolled students from 9 universities during the last 3 years. </w:t>
      </w:r>
    </w:p>
    <w:p w14:paraId="3FEEB146" w14:textId="76CFF842" w:rsidR="0076715E" w:rsidRDefault="0076715E" w:rsidP="0076715E">
      <w:pPr>
        <w:shd w:val="clear" w:color="auto" w:fill="FFFFFF"/>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Times New Roman" w:hAnsi="Times New Roman" w:cs="Times New Roman"/>
          <w:sz w:val="24"/>
          <w:szCs w:val="24"/>
          <w:lang w:val="en-GB" w:eastAsia="sq-AL"/>
        </w:rPr>
        <w:t xml:space="preserve">The paper is structured as the following. The second chapter reviews the literature. The third chapter explains the statistical methods used, followed by the fourth chapter presenting the results of the work. </w:t>
      </w:r>
    </w:p>
    <w:p w14:paraId="2373F0F1" w14:textId="77777777" w:rsidR="00626499" w:rsidRPr="0076715E" w:rsidRDefault="00626499" w:rsidP="0076715E">
      <w:pPr>
        <w:shd w:val="clear" w:color="auto" w:fill="FFFFFF"/>
        <w:spacing w:before="120" w:after="120" w:line="276" w:lineRule="auto"/>
        <w:jc w:val="both"/>
        <w:rPr>
          <w:rFonts w:ascii="Times New Roman" w:eastAsia="Times New Roman" w:hAnsi="Times New Roman" w:cs="Times New Roman"/>
          <w:sz w:val="24"/>
          <w:szCs w:val="24"/>
          <w:lang w:val="en-GB" w:eastAsia="sq-AL"/>
        </w:rPr>
      </w:pPr>
    </w:p>
    <w:p w14:paraId="431390CA" w14:textId="7F73FE5F" w:rsidR="0076715E" w:rsidRPr="00C603A7" w:rsidRDefault="0076715E" w:rsidP="0076715E">
      <w:pPr>
        <w:pStyle w:val="ListParagraph"/>
        <w:numPr>
          <w:ilvl w:val="0"/>
          <w:numId w:val="4"/>
        </w:numPr>
        <w:shd w:val="clear" w:color="auto" w:fill="FFFFFF"/>
        <w:spacing w:before="120" w:after="120" w:line="276" w:lineRule="auto"/>
        <w:jc w:val="both"/>
        <w:rPr>
          <w:rFonts w:ascii="Times New Roman" w:hAnsi="Times New Roman" w:cs="Times New Roman"/>
          <w:b/>
          <w:color w:val="222222"/>
          <w:sz w:val="28"/>
          <w:szCs w:val="28"/>
          <w:lang w:eastAsia="sq-AL"/>
        </w:rPr>
      </w:pPr>
      <w:r w:rsidRPr="00C603A7">
        <w:rPr>
          <w:rFonts w:ascii="Times New Roman" w:hAnsi="Times New Roman" w:cs="Times New Roman"/>
          <w:b/>
          <w:color w:val="222222"/>
          <w:sz w:val="28"/>
          <w:szCs w:val="28"/>
          <w:lang w:eastAsia="sq-AL"/>
        </w:rPr>
        <w:t xml:space="preserve">Literature review  </w:t>
      </w:r>
    </w:p>
    <w:p w14:paraId="60A65E5C" w14:textId="77777777" w:rsidR="0076715E" w:rsidRPr="0076715E" w:rsidRDefault="0076715E" w:rsidP="0076715E">
      <w:pPr>
        <w:autoSpaceDE w:val="0"/>
        <w:autoSpaceDN w:val="0"/>
        <w:adjustRightInd w:val="0"/>
        <w:spacing w:before="120" w:after="120" w:line="276" w:lineRule="auto"/>
        <w:jc w:val="both"/>
        <w:rPr>
          <w:rFonts w:ascii="Calibri" w:eastAsia="Calibri" w:hAnsi="Calibri" w:cs="Times New Roman"/>
          <w:bCs/>
          <w:color w:val="222222"/>
          <w:lang w:val="en-GB"/>
        </w:rPr>
      </w:pPr>
    </w:p>
    <w:p w14:paraId="697EEC7A" w14:textId="6476DB81" w:rsidR="0076715E" w:rsidRPr="0076715E" w:rsidRDefault="0076715E" w:rsidP="0076715E">
      <w:pPr>
        <w:autoSpaceDE w:val="0"/>
        <w:autoSpaceDN w:val="0"/>
        <w:adjustRightInd w:val="0"/>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Times New Roman" w:hAnsi="Times New Roman" w:cs="Times New Roman"/>
          <w:sz w:val="24"/>
          <w:szCs w:val="24"/>
          <w:lang w:val="en-GB" w:eastAsia="sq-AL"/>
        </w:rPr>
        <w:t>The literature offers a large variety of determinants for student performance. A part of the scholars has been focused on the transitional path from secondary education to tertiary education (Nel et al, 2009; Páramo Fernández et al, 2017). Factors related to the perceptions about the university, inadequacies and inequalities in the school system, academic, cultural</w:t>
      </w:r>
      <w:r w:rsidR="00E504CE">
        <w:rPr>
          <w:rFonts w:ascii="Times New Roman" w:eastAsia="Times New Roman" w:hAnsi="Times New Roman" w:cs="Times New Roman"/>
          <w:sz w:val="24"/>
          <w:szCs w:val="24"/>
          <w:lang w:val="en-GB" w:eastAsia="sq-AL"/>
        </w:rPr>
        <w:t>,</w:t>
      </w:r>
      <w:r w:rsidRPr="0076715E">
        <w:rPr>
          <w:rFonts w:ascii="Times New Roman" w:eastAsia="Times New Roman" w:hAnsi="Times New Roman" w:cs="Times New Roman"/>
          <w:sz w:val="24"/>
          <w:szCs w:val="24"/>
          <w:lang w:val="en-GB" w:eastAsia="sq-AL"/>
        </w:rPr>
        <w:t xml:space="preserve"> emotional adaptation and limited financial circumstances. </w:t>
      </w:r>
    </w:p>
    <w:p w14:paraId="4542E43B" w14:textId="77777777" w:rsidR="0076715E" w:rsidRPr="0076715E" w:rsidRDefault="0076715E" w:rsidP="0076715E">
      <w:pPr>
        <w:autoSpaceDE w:val="0"/>
        <w:autoSpaceDN w:val="0"/>
        <w:adjustRightInd w:val="0"/>
        <w:spacing w:before="120" w:after="120" w:line="276" w:lineRule="auto"/>
        <w:jc w:val="both"/>
        <w:rPr>
          <w:rFonts w:ascii="Times New Roman" w:eastAsia="Calibri" w:hAnsi="Times New Roman" w:cs="Times New Roman"/>
          <w:sz w:val="24"/>
          <w:szCs w:val="24"/>
          <w:lang w:val="en-GB"/>
        </w:rPr>
      </w:pPr>
      <w:r w:rsidRPr="0076715E">
        <w:rPr>
          <w:rFonts w:ascii="Times New Roman" w:eastAsia="Times New Roman" w:hAnsi="Times New Roman" w:cs="Times New Roman"/>
          <w:sz w:val="24"/>
          <w:szCs w:val="24"/>
          <w:lang w:val="en-GB" w:eastAsia="sq-AL"/>
        </w:rPr>
        <w:t xml:space="preserve">Other authors have focused more on the preparedness pare of the graduate during the entire learning process. One of the main determinants is student preparation and time spent for being prepared. Considering this argument, every factor that reduces time spent for preparation does also influence student performance. Hepworth et al (2018) find that student preparedness was very significant for students’ performance and students’ academic success. While excessive use of social networks has a negative impact on academic performance (Maqableh et al, 2015). </w:t>
      </w:r>
    </w:p>
    <w:p w14:paraId="323A7218" w14:textId="4553D58B"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sz w:val="24"/>
          <w:szCs w:val="24"/>
          <w:lang w:val="en-GB" w:eastAsia="sq-AL"/>
        </w:rPr>
        <w:t>Following the argument of preparedness</w:t>
      </w:r>
      <w:r w:rsidRPr="0076715E">
        <w:rPr>
          <w:rFonts w:ascii="Times New Roman" w:eastAsia="Times New Roman" w:hAnsi="Times New Roman" w:cs="Times New Roman"/>
          <w:bCs/>
          <w:color w:val="222222"/>
          <w:sz w:val="24"/>
          <w:szCs w:val="24"/>
          <w:lang w:val="en-GB" w:eastAsia="sq-AL"/>
        </w:rPr>
        <w:t xml:space="preserve">, students </w:t>
      </w:r>
      <w:proofErr w:type="spellStart"/>
      <w:r w:rsidRPr="0076715E">
        <w:rPr>
          <w:rFonts w:ascii="Times New Roman" w:eastAsia="Times New Roman" w:hAnsi="Times New Roman" w:cs="Times New Roman"/>
          <w:bCs/>
          <w:color w:val="222222"/>
          <w:sz w:val="24"/>
          <w:szCs w:val="24"/>
          <w:lang w:val="en-GB" w:eastAsia="sq-AL"/>
        </w:rPr>
        <w:t>labor</w:t>
      </w:r>
      <w:proofErr w:type="spellEnd"/>
      <w:r w:rsidRPr="0076715E">
        <w:rPr>
          <w:rFonts w:ascii="Times New Roman" w:eastAsia="Times New Roman" w:hAnsi="Times New Roman" w:cs="Times New Roman"/>
          <w:bCs/>
          <w:color w:val="222222"/>
          <w:sz w:val="24"/>
          <w:szCs w:val="24"/>
          <w:lang w:val="en-GB" w:eastAsia="sq-AL"/>
        </w:rPr>
        <w:t xml:space="preserve"> market engagement is important too. It creates opportunity costs for the student in terms of concentration and time spent on preparation. When employment is full-time and unrelated to the study profile the negative impact on academic performance especially, as it has a direct impact on the reduction of study hours (Sanchez ‐ </w:t>
      </w:r>
      <w:proofErr w:type="spellStart"/>
      <w:r w:rsidRPr="0076715E">
        <w:rPr>
          <w:rFonts w:ascii="Times New Roman" w:eastAsia="Times New Roman" w:hAnsi="Times New Roman" w:cs="Times New Roman"/>
          <w:bCs/>
          <w:color w:val="222222"/>
          <w:sz w:val="24"/>
          <w:szCs w:val="24"/>
          <w:lang w:val="en-GB" w:eastAsia="sq-AL"/>
        </w:rPr>
        <w:t>Gelabert</w:t>
      </w:r>
      <w:proofErr w:type="spellEnd"/>
      <w:r w:rsidR="00502448">
        <w:rPr>
          <w:rFonts w:ascii="Times New Roman" w:eastAsia="Times New Roman" w:hAnsi="Times New Roman" w:cs="Times New Roman"/>
          <w:bCs/>
          <w:color w:val="222222"/>
          <w:sz w:val="24"/>
          <w:szCs w:val="24"/>
          <w:lang w:val="en-GB" w:eastAsia="sq-AL"/>
        </w:rPr>
        <w:t xml:space="preserve"> et al,</w:t>
      </w:r>
      <w:r w:rsidRPr="0076715E">
        <w:rPr>
          <w:rFonts w:ascii="Times New Roman" w:eastAsia="Times New Roman" w:hAnsi="Times New Roman" w:cs="Times New Roman"/>
          <w:bCs/>
          <w:color w:val="222222"/>
          <w:sz w:val="24"/>
          <w:szCs w:val="24"/>
          <w:lang w:val="en-GB" w:eastAsia="sq-AL"/>
        </w:rPr>
        <w:t xml:space="preserve"> 2017). </w:t>
      </w:r>
      <w:r w:rsidRPr="0076715E">
        <w:rPr>
          <w:rFonts w:ascii="Times New Roman" w:eastAsia="Times New Roman" w:hAnsi="Times New Roman" w:cs="Times New Roman"/>
          <w:sz w:val="24"/>
          <w:szCs w:val="24"/>
          <w:lang w:val="en-GB" w:eastAsia="sq-AL"/>
        </w:rPr>
        <w:t xml:space="preserve">Regarding working whilst studying, the best marks are obtained by students who study full-time (more notables and excellent grades). Moreover, the marks are lower for students who have full-time jobs that are not related to their degree (ibid). </w:t>
      </w:r>
    </w:p>
    <w:p w14:paraId="0737C136" w14:textId="759C7290"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bCs/>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 xml:space="preserve">The influence that personal variables, such as motivation and ability, study time (Sanchez ‐ </w:t>
      </w:r>
      <w:proofErr w:type="spellStart"/>
      <w:r w:rsidRPr="0076715E">
        <w:rPr>
          <w:rFonts w:ascii="Times New Roman" w:eastAsia="Times New Roman" w:hAnsi="Times New Roman" w:cs="Times New Roman"/>
          <w:bCs/>
          <w:color w:val="222222"/>
          <w:sz w:val="24"/>
          <w:szCs w:val="24"/>
          <w:lang w:val="en-GB" w:eastAsia="sq-AL"/>
        </w:rPr>
        <w:t>Gelabert</w:t>
      </w:r>
      <w:proofErr w:type="spellEnd"/>
      <w:r w:rsidR="00502448">
        <w:rPr>
          <w:rFonts w:ascii="Times New Roman" w:eastAsia="Times New Roman" w:hAnsi="Times New Roman" w:cs="Times New Roman"/>
          <w:bCs/>
          <w:color w:val="222222"/>
          <w:sz w:val="24"/>
          <w:szCs w:val="24"/>
          <w:lang w:val="en-GB" w:eastAsia="sq-AL"/>
        </w:rPr>
        <w:t xml:space="preserve"> et al</w:t>
      </w:r>
      <w:r w:rsidRPr="0076715E">
        <w:rPr>
          <w:rFonts w:ascii="Times New Roman" w:eastAsia="Times New Roman" w:hAnsi="Times New Roman" w:cs="Times New Roman"/>
          <w:bCs/>
          <w:color w:val="222222"/>
          <w:sz w:val="24"/>
          <w:szCs w:val="24"/>
          <w:lang w:val="en-GB" w:eastAsia="sq-AL"/>
        </w:rPr>
        <w:t xml:space="preserve"> 2017) are often encountered in studies but also variables such as attendance percentage (</w:t>
      </w:r>
      <w:proofErr w:type="spellStart"/>
      <w:r w:rsidRPr="0076715E">
        <w:rPr>
          <w:rFonts w:ascii="Times New Roman" w:eastAsia="Times New Roman" w:hAnsi="Times New Roman" w:cs="Times New Roman"/>
          <w:bCs/>
          <w:color w:val="222222"/>
          <w:sz w:val="24"/>
          <w:szCs w:val="24"/>
          <w:lang w:val="en-GB" w:eastAsia="sq-AL"/>
        </w:rPr>
        <w:t>Kassarnig</w:t>
      </w:r>
      <w:proofErr w:type="spellEnd"/>
      <w:r w:rsidRPr="0076715E">
        <w:rPr>
          <w:rFonts w:ascii="Times New Roman" w:eastAsia="Times New Roman" w:hAnsi="Times New Roman" w:cs="Times New Roman"/>
          <w:bCs/>
          <w:color w:val="222222"/>
          <w:sz w:val="24"/>
          <w:szCs w:val="24"/>
          <w:lang w:val="en-GB" w:eastAsia="sq-AL"/>
        </w:rPr>
        <w:t xml:space="preserve"> et al, 2018) is an important factor. Using the case of Spain, Araque et al (2009) found that students with weak educational strategies and without persistence to achieve their aims in life have low academic performance.</w:t>
      </w:r>
    </w:p>
    <w:p w14:paraId="00FBFAD4" w14:textId="6BFBAAC9"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bCs/>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 xml:space="preserve">A group of factors are related with </w:t>
      </w:r>
      <w:r w:rsidR="008C093D">
        <w:rPr>
          <w:rFonts w:ascii="Times New Roman" w:eastAsia="Times New Roman" w:hAnsi="Times New Roman" w:cs="Times New Roman"/>
          <w:color w:val="222222"/>
          <w:sz w:val="24"/>
          <w:szCs w:val="24"/>
          <w:lang w:val="en-GB" w:eastAsia="sq-AL"/>
        </w:rPr>
        <w:t>students’</w:t>
      </w:r>
      <w:r w:rsidRPr="0076715E">
        <w:rPr>
          <w:rFonts w:ascii="Times New Roman" w:eastAsia="Times New Roman" w:hAnsi="Times New Roman" w:cs="Times New Roman"/>
          <w:color w:val="222222"/>
          <w:sz w:val="24"/>
          <w:szCs w:val="24"/>
          <w:lang w:val="en-GB" w:eastAsia="sq-AL"/>
        </w:rPr>
        <w:t xml:space="preserve"> beliefs and perceptions. Gutierrez and Thomas (2019) explored the relationship between perceptions on teacher autonomy support, academic performance, and school satisfaction. They emphasize the importance of the possibility of self-determination during student education period as well as the importance of teaching practices that </w:t>
      </w:r>
      <w:r w:rsidRPr="0076715E">
        <w:rPr>
          <w:rFonts w:ascii="Times New Roman" w:eastAsia="Times New Roman" w:hAnsi="Times New Roman" w:cs="Times New Roman"/>
          <w:color w:val="222222"/>
          <w:sz w:val="24"/>
          <w:szCs w:val="24"/>
          <w:lang w:val="en-GB" w:eastAsia="sq-AL"/>
        </w:rPr>
        <w:lastRenderedPageBreak/>
        <w:t xml:space="preserve">take into account students’ levels of interest in skills or learning preferences. Chamorro and Furnham (2003) found that there is a statistically significant correlation between personality traits and academic performance. </w:t>
      </w:r>
    </w:p>
    <w:p w14:paraId="5DD2520F" w14:textId="30D3BFA8"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bCs/>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 xml:space="preserve">Last group of factors are students’ characteristics and family background. Alabdulkarem et al (2021) carrying a study in Saudi Arabia found that </w:t>
      </w:r>
      <w:r w:rsidR="008C093D">
        <w:rPr>
          <w:rFonts w:ascii="Times New Roman" w:eastAsia="Times New Roman" w:hAnsi="Times New Roman" w:cs="Times New Roman"/>
          <w:sz w:val="24"/>
          <w:szCs w:val="24"/>
          <w:lang w:val="en-GB" w:eastAsia="sq-AL"/>
        </w:rPr>
        <w:t>parents’</w:t>
      </w:r>
      <w:r w:rsidR="008C093D" w:rsidRPr="0076715E">
        <w:rPr>
          <w:rFonts w:ascii="Times New Roman" w:eastAsia="Times New Roman" w:hAnsi="Times New Roman" w:cs="Times New Roman"/>
          <w:sz w:val="24"/>
          <w:szCs w:val="24"/>
          <w:lang w:val="en-GB" w:eastAsia="sq-AL"/>
        </w:rPr>
        <w:t xml:space="preserve"> </w:t>
      </w:r>
      <w:r w:rsidRPr="0076715E">
        <w:rPr>
          <w:rFonts w:ascii="Times New Roman" w:eastAsia="Times New Roman" w:hAnsi="Times New Roman" w:cs="Times New Roman"/>
          <w:sz w:val="24"/>
          <w:szCs w:val="24"/>
          <w:lang w:val="en-GB" w:eastAsia="sq-AL"/>
        </w:rPr>
        <w:t>education level was a significant factor cis a vis other factors related to student previous education and engagement to extracurricular activities, including here religion.</w:t>
      </w:r>
      <w:r w:rsidRPr="0076715E">
        <w:rPr>
          <w:rFonts w:ascii="Times New Roman" w:eastAsia="Times New Roman" w:hAnsi="Times New Roman" w:cs="Times New Roman"/>
          <w:bCs/>
          <w:color w:val="222222"/>
          <w:sz w:val="24"/>
          <w:szCs w:val="24"/>
          <w:lang w:val="en-GB" w:eastAsia="sq-AL"/>
        </w:rPr>
        <w:t xml:space="preserve"> Considering successful integration to life stages as very related with students’ conditions, Islam (2014) identified a large number of factors, namely the pre-admission qualification, level of attendance, probation status, time spend in study, father’s education, parental support and involvement, major subjects of study, and gender of the students. </w:t>
      </w:r>
    </w:p>
    <w:p w14:paraId="68A2E862"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Times New Roman" w:hAnsi="Times New Roman" w:cs="Times New Roman"/>
          <w:bCs/>
          <w:color w:val="222222"/>
          <w:sz w:val="24"/>
          <w:szCs w:val="24"/>
          <w:lang w:val="en-GB" w:eastAsia="sq-AL"/>
        </w:rPr>
        <w:t xml:space="preserve">In some studies, current performance and future performance are related with students’ level of performance in earlier stages of education. For instance, Liem (2019) in his paper points out that knowledge of past achievements is likely to explain student performance levels to a large extent. </w:t>
      </w:r>
      <w:r w:rsidRPr="0076715E">
        <w:rPr>
          <w:rFonts w:ascii="Times New Roman" w:eastAsia="Times New Roman" w:hAnsi="Times New Roman" w:cs="Times New Roman"/>
          <w:sz w:val="24"/>
          <w:szCs w:val="24"/>
          <w:lang w:val="en-GB" w:eastAsia="sq-AL"/>
        </w:rPr>
        <w:t xml:space="preserve">Studies evidences in this topic differ, mainly emerging due to differing socio-economic factors influencing along countries cases, the rapid development of technology or lifestyle changes but also of the frequent changes and alterations that have undergone education systems </w:t>
      </w:r>
      <w:sdt>
        <w:sdtPr>
          <w:rPr>
            <w:rFonts w:ascii="Times New Roman" w:eastAsia="Times New Roman" w:hAnsi="Times New Roman" w:cs="Times New Roman"/>
            <w:sz w:val="24"/>
            <w:szCs w:val="24"/>
            <w:lang w:val="en-GB" w:eastAsia="sq-AL"/>
          </w:rPr>
          <w:id w:val="-1437209826"/>
          <w:citation/>
        </w:sdtPr>
        <w:sdtContent>
          <w:r w:rsidRPr="0076715E">
            <w:rPr>
              <w:rFonts w:ascii="Times New Roman" w:eastAsia="Times New Roman" w:hAnsi="Times New Roman" w:cs="Times New Roman"/>
              <w:sz w:val="24"/>
              <w:szCs w:val="24"/>
              <w:lang w:val="en-GB" w:eastAsia="sq-AL"/>
            </w:rPr>
            <w:fldChar w:fldCharType="begin"/>
          </w:r>
          <w:r w:rsidRPr="0076715E">
            <w:rPr>
              <w:rFonts w:ascii="Times New Roman" w:eastAsia="Times New Roman" w:hAnsi="Times New Roman" w:cs="Times New Roman"/>
              <w:sz w:val="24"/>
              <w:szCs w:val="24"/>
              <w:lang w:val="en-GB" w:eastAsia="sq-AL"/>
            </w:rPr>
            <w:instrText xml:space="preserve"> CITATION Kha19 \l 1033 </w:instrText>
          </w:r>
          <w:r w:rsidRPr="0076715E">
            <w:rPr>
              <w:rFonts w:ascii="Times New Roman" w:eastAsia="Times New Roman" w:hAnsi="Times New Roman" w:cs="Times New Roman"/>
              <w:sz w:val="24"/>
              <w:szCs w:val="24"/>
              <w:lang w:val="en-GB" w:eastAsia="sq-AL"/>
            </w:rPr>
            <w:fldChar w:fldCharType="separate"/>
          </w:r>
          <w:r w:rsidRPr="0076715E">
            <w:rPr>
              <w:rFonts w:ascii="Times New Roman" w:eastAsia="Times New Roman" w:hAnsi="Times New Roman" w:cs="Times New Roman"/>
              <w:noProof/>
              <w:sz w:val="24"/>
              <w:szCs w:val="24"/>
              <w:lang w:val="en-GB" w:eastAsia="sq-AL"/>
            </w:rPr>
            <w:t>(Alhumaid, 2019)</w:t>
          </w:r>
          <w:r w:rsidRPr="0076715E">
            <w:rPr>
              <w:rFonts w:ascii="Times New Roman" w:eastAsia="Times New Roman" w:hAnsi="Times New Roman" w:cs="Times New Roman"/>
              <w:sz w:val="24"/>
              <w:szCs w:val="24"/>
              <w:lang w:val="en-GB" w:eastAsia="sq-AL"/>
            </w:rPr>
            <w:fldChar w:fldCharType="end"/>
          </w:r>
        </w:sdtContent>
      </w:sdt>
      <w:r w:rsidRPr="0076715E">
        <w:rPr>
          <w:rFonts w:ascii="Times New Roman" w:eastAsia="Times New Roman" w:hAnsi="Times New Roman" w:cs="Times New Roman"/>
          <w:sz w:val="24"/>
          <w:szCs w:val="24"/>
          <w:lang w:val="en-GB" w:eastAsia="sq-AL"/>
        </w:rPr>
        <w:t xml:space="preserve">, </w:t>
      </w:r>
      <w:sdt>
        <w:sdtPr>
          <w:rPr>
            <w:rFonts w:ascii="Times New Roman" w:eastAsia="Times New Roman" w:hAnsi="Times New Roman" w:cs="Times New Roman"/>
            <w:sz w:val="24"/>
            <w:szCs w:val="24"/>
            <w:lang w:val="en-GB" w:eastAsia="sq-AL"/>
          </w:rPr>
          <w:id w:val="1509333186"/>
          <w:citation/>
        </w:sdtPr>
        <w:sdtContent>
          <w:r w:rsidRPr="0076715E">
            <w:rPr>
              <w:rFonts w:ascii="Times New Roman" w:eastAsia="Times New Roman" w:hAnsi="Times New Roman" w:cs="Times New Roman"/>
              <w:sz w:val="24"/>
              <w:szCs w:val="24"/>
              <w:lang w:val="en-GB" w:eastAsia="sq-AL"/>
            </w:rPr>
            <w:fldChar w:fldCharType="begin"/>
          </w:r>
          <w:r w:rsidRPr="0076715E">
            <w:rPr>
              <w:rFonts w:ascii="Times New Roman" w:eastAsia="Times New Roman" w:hAnsi="Times New Roman" w:cs="Times New Roman"/>
              <w:sz w:val="24"/>
              <w:szCs w:val="24"/>
              <w:lang w:val="en-GB" w:eastAsia="sq-AL"/>
            </w:rPr>
            <w:instrText xml:space="preserve"> CITATION Jam17 \l 1033 </w:instrText>
          </w:r>
          <w:r w:rsidRPr="0076715E">
            <w:rPr>
              <w:rFonts w:ascii="Times New Roman" w:eastAsia="Times New Roman" w:hAnsi="Times New Roman" w:cs="Times New Roman"/>
              <w:sz w:val="24"/>
              <w:szCs w:val="24"/>
              <w:lang w:val="en-GB" w:eastAsia="sq-AL"/>
            </w:rPr>
            <w:fldChar w:fldCharType="separate"/>
          </w:r>
          <w:r w:rsidRPr="0076715E">
            <w:rPr>
              <w:rFonts w:ascii="Times New Roman" w:eastAsia="Times New Roman" w:hAnsi="Times New Roman" w:cs="Times New Roman"/>
              <w:noProof/>
              <w:sz w:val="24"/>
              <w:szCs w:val="24"/>
              <w:lang w:val="en-GB" w:eastAsia="sq-AL"/>
            </w:rPr>
            <w:t>(Francis, 2017)</w:t>
          </w:r>
          <w:r w:rsidRPr="0076715E">
            <w:rPr>
              <w:rFonts w:ascii="Times New Roman" w:eastAsia="Times New Roman" w:hAnsi="Times New Roman" w:cs="Times New Roman"/>
              <w:sz w:val="24"/>
              <w:szCs w:val="24"/>
              <w:lang w:val="en-GB" w:eastAsia="sq-AL"/>
            </w:rPr>
            <w:fldChar w:fldCharType="end"/>
          </w:r>
        </w:sdtContent>
      </w:sdt>
      <w:r w:rsidRPr="0076715E">
        <w:rPr>
          <w:rFonts w:ascii="Times New Roman" w:eastAsia="Times New Roman" w:hAnsi="Times New Roman" w:cs="Times New Roman"/>
          <w:sz w:val="24"/>
          <w:szCs w:val="24"/>
          <w:lang w:val="en-GB" w:eastAsia="sq-AL"/>
        </w:rPr>
        <w:t xml:space="preserve">. </w:t>
      </w:r>
    </w:p>
    <w:p w14:paraId="4CB9E239"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Times New Roman" w:hAnsi="Times New Roman" w:cs="Times New Roman"/>
          <w:bCs/>
          <w:color w:val="222222"/>
          <w:sz w:val="24"/>
          <w:szCs w:val="24"/>
          <w:lang w:val="en-GB" w:eastAsia="sq-AL"/>
        </w:rPr>
        <w:t xml:space="preserve">Summarising, </w:t>
      </w:r>
      <w:r w:rsidRPr="0076715E">
        <w:rPr>
          <w:rFonts w:ascii="Times New Roman" w:eastAsia="Times New Roman" w:hAnsi="Times New Roman" w:cs="Times New Roman"/>
          <w:sz w:val="24"/>
          <w:szCs w:val="24"/>
          <w:lang w:val="en-GB" w:eastAsia="sq-AL"/>
        </w:rPr>
        <w:t xml:space="preserve">various studies have identified different factors that affect academic performance, such as socio-economic, cultural, demographic, motivation, employment during studies, etc </w:t>
      </w:r>
      <w:sdt>
        <w:sdtPr>
          <w:rPr>
            <w:rFonts w:ascii="Times New Roman" w:eastAsia="Times New Roman" w:hAnsi="Times New Roman" w:cs="Times New Roman"/>
            <w:sz w:val="24"/>
            <w:szCs w:val="24"/>
            <w:lang w:val="en-GB" w:eastAsia="sq-AL"/>
          </w:rPr>
          <w:id w:val="524297196"/>
          <w:citation/>
        </w:sdtPr>
        <w:sdtContent>
          <w:r w:rsidRPr="0076715E">
            <w:rPr>
              <w:rFonts w:ascii="Times New Roman" w:eastAsia="Times New Roman" w:hAnsi="Times New Roman" w:cs="Times New Roman"/>
              <w:sz w:val="24"/>
              <w:szCs w:val="24"/>
              <w:lang w:val="en-GB" w:eastAsia="sq-AL"/>
            </w:rPr>
            <w:fldChar w:fldCharType="begin"/>
          </w:r>
          <w:r w:rsidRPr="0076715E">
            <w:rPr>
              <w:rFonts w:ascii="Times New Roman" w:eastAsia="Times New Roman" w:hAnsi="Times New Roman" w:cs="Times New Roman"/>
              <w:sz w:val="24"/>
              <w:szCs w:val="24"/>
              <w:lang w:val="en-GB" w:eastAsia="sq-AL"/>
            </w:rPr>
            <w:instrText xml:space="preserve"> CITATION Yil09 \l 1033 </w:instrText>
          </w:r>
          <w:r w:rsidRPr="0076715E">
            <w:rPr>
              <w:rFonts w:ascii="Times New Roman" w:eastAsia="Times New Roman" w:hAnsi="Times New Roman" w:cs="Times New Roman"/>
              <w:sz w:val="24"/>
              <w:szCs w:val="24"/>
              <w:lang w:val="en-GB" w:eastAsia="sq-AL"/>
            </w:rPr>
            <w:fldChar w:fldCharType="separate"/>
          </w:r>
          <w:r w:rsidRPr="0076715E">
            <w:rPr>
              <w:rFonts w:ascii="Times New Roman" w:eastAsia="Times New Roman" w:hAnsi="Times New Roman" w:cs="Times New Roman"/>
              <w:noProof/>
              <w:sz w:val="24"/>
              <w:szCs w:val="24"/>
              <w:lang w:val="en-GB" w:eastAsia="sq-AL"/>
            </w:rPr>
            <w:t>(Yilmaz, 2009)</w:t>
          </w:r>
          <w:r w:rsidRPr="0076715E">
            <w:rPr>
              <w:rFonts w:ascii="Times New Roman" w:eastAsia="Times New Roman" w:hAnsi="Times New Roman" w:cs="Times New Roman"/>
              <w:sz w:val="24"/>
              <w:szCs w:val="24"/>
              <w:lang w:val="en-GB" w:eastAsia="sq-AL"/>
            </w:rPr>
            <w:fldChar w:fldCharType="end"/>
          </w:r>
        </w:sdtContent>
      </w:sdt>
      <w:r w:rsidRPr="0076715E">
        <w:rPr>
          <w:rFonts w:ascii="Times New Roman" w:eastAsia="Times New Roman" w:hAnsi="Times New Roman" w:cs="Times New Roman"/>
          <w:sz w:val="24"/>
          <w:szCs w:val="24"/>
          <w:lang w:val="en-GB" w:eastAsia="sq-AL"/>
        </w:rPr>
        <w:t xml:space="preserve"> </w:t>
      </w:r>
      <w:sdt>
        <w:sdtPr>
          <w:rPr>
            <w:rFonts w:ascii="Times New Roman" w:eastAsia="Times New Roman" w:hAnsi="Times New Roman" w:cs="Times New Roman"/>
            <w:sz w:val="24"/>
            <w:szCs w:val="24"/>
            <w:lang w:val="en-GB" w:eastAsia="sq-AL"/>
          </w:rPr>
          <w:id w:val="1937331501"/>
          <w:citation/>
        </w:sdtPr>
        <w:sdtContent>
          <w:r w:rsidRPr="0076715E">
            <w:rPr>
              <w:rFonts w:ascii="Times New Roman" w:eastAsia="Times New Roman" w:hAnsi="Times New Roman" w:cs="Times New Roman"/>
              <w:sz w:val="24"/>
              <w:szCs w:val="24"/>
              <w:lang w:val="en-GB" w:eastAsia="sq-AL"/>
            </w:rPr>
            <w:fldChar w:fldCharType="begin"/>
          </w:r>
          <w:r w:rsidRPr="0076715E">
            <w:rPr>
              <w:rFonts w:ascii="Times New Roman" w:eastAsia="Times New Roman" w:hAnsi="Times New Roman" w:cs="Times New Roman"/>
              <w:sz w:val="24"/>
              <w:szCs w:val="24"/>
              <w:lang w:val="en-GB" w:eastAsia="sq-AL"/>
            </w:rPr>
            <w:instrText xml:space="preserve"> CITATION Isl14 \l 1033 </w:instrText>
          </w:r>
          <w:r w:rsidRPr="0076715E">
            <w:rPr>
              <w:rFonts w:ascii="Times New Roman" w:eastAsia="Times New Roman" w:hAnsi="Times New Roman" w:cs="Times New Roman"/>
              <w:sz w:val="24"/>
              <w:szCs w:val="24"/>
              <w:lang w:val="en-GB" w:eastAsia="sq-AL"/>
            </w:rPr>
            <w:fldChar w:fldCharType="separate"/>
          </w:r>
          <w:r w:rsidRPr="0076715E">
            <w:rPr>
              <w:rFonts w:ascii="Times New Roman" w:eastAsia="Times New Roman" w:hAnsi="Times New Roman" w:cs="Times New Roman"/>
              <w:noProof/>
              <w:sz w:val="24"/>
              <w:szCs w:val="24"/>
              <w:lang w:val="en-GB" w:eastAsia="sq-AL"/>
            </w:rPr>
            <w:t>(Islam, 2014)</w:t>
          </w:r>
          <w:r w:rsidRPr="0076715E">
            <w:rPr>
              <w:rFonts w:ascii="Times New Roman" w:eastAsia="Times New Roman" w:hAnsi="Times New Roman" w:cs="Times New Roman"/>
              <w:sz w:val="24"/>
              <w:szCs w:val="24"/>
              <w:lang w:val="en-GB" w:eastAsia="sq-AL"/>
            </w:rPr>
            <w:fldChar w:fldCharType="end"/>
          </w:r>
        </w:sdtContent>
      </w:sdt>
      <w:r w:rsidRPr="0076715E">
        <w:rPr>
          <w:rFonts w:ascii="Times New Roman" w:eastAsia="Times New Roman" w:hAnsi="Times New Roman" w:cs="Times New Roman"/>
          <w:sz w:val="24"/>
          <w:szCs w:val="24"/>
          <w:lang w:val="en-GB" w:eastAsia="sq-AL"/>
        </w:rPr>
        <w:t>. In addition to these changes, other demographic and social changes as well as factors related to by the higher institutions themselves may affect the quality of higher education and directly the performance of students.</w:t>
      </w:r>
    </w:p>
    <w:p w14:paraId="122890C2"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bCs/>
          <w:color w:val="222222"/>
          <w:sz w:val="24"/>
          <w:szCs w:val="24"/>
          <w:lang w:val="en-GB" w:eastAsia="sq-AL"/>
        </w:rPr>
      </w:pPr>
    </w:p>
    <w:p w14:paraId="3946131B" w14:textId="714D1E1B" w:rsidR="0076715E" w:rsidRPr="00C603A7" w:rsidRDefault="0076715E" w:rsidP="0076715E">
      <w:pPr>
        <w:pStyle w:val="ListParagraph"/>
        <w:numPr>
          <w:ilvl w:val="0"/>
          <w:numId w:val="4"/>
        </w:numPr>
        <w:shd w:val="clear" w:color="auto" w:fill="FFFFFF"/>
        <w:spacing w:after="100" w:afterAutospacing="1" w:line="276" w:lineRule="auto"/>
        <w:jc w:val="both"/>
        <w:rPr>
          <w:rFonts w:ascii="Times New Roman" w:hAnsi="Times New Roman" w:cs="Times New Roman"/>
          <w:b/>
          <w:color w:val="222222"/>
          <w:sz w:val="28"/>
          <w:szCs w:val="28"/>
          <w:lang w:eastAsia="sq-AL"/>
        </w:rPr>
      </w:pPr>
      <w:r w:rsidRPr="00C603A7">
        <w:rPr>
          <w:rFonts w:ascii="Times New Roman" w:hAnsi="Times New Roman" w:cs="Times New Roman"/>
          <w:b/>
          <w:color w:val="222222"/>
          <w:sz w:val="28"/>
          <w:szCs w:val="28"/>
          <w:lang w:eastAsia="sq-AL"/>
        </w:rPr>
        <w:t>Methodology</w:t>
      </w:r>
    </w:p>
    <w:p w14:paraId="5057C83A" w14:textId="77777777" w:rsidR="0076715E" w:rsidRPr="00626499" w:rsidRDefault="0076715E" w:rsidP="0076715E">
      <w:pPr>
        <w:shd w:val="clear" w:color="auto" w:fill="FFFFFF"/>
        <w:spacing w:before="120" w:after="120" w:line="276" w:lineRule="auto"/>
        <w:jc w:val="both"/>
        <w:rPr>
          <w:rFonts w:ascii="Times New Roman" w:eastAsia="Times New Roman" w:hAnsi="Times New Roman" w:cs="Times New Roman"/>
          <w:b/>
          <w:bCs/>
          <w:sz w:val="24"/>
          <w:szCs w:val="24"/>
          <w:lang w:val="en-GB" w:eastAsia="sq-AL"/>
        </w:rPr>
      </w:pPr>
      <w:r w:rsidRPr="00626499">
        <w:rPr>
          <w:rFonts w:ascii="Times New Roman" w:eastAsia="Times New Roman" w:hAnsi="Times New Roman" w:cs="Times New Roman"/>
          <w:b/>
          <w:bCs/>
          <w:sz w:val="24"/>
          <w:szCs w:val="24"/>
          <w:lang w:val="en-GB" w:eastAsia="sq-AL"/>
        </w:rPr>
        <w:t>The model</w:t>
      </w:r>
    </w:p>
    <w:p w14:paraId="52A9359B"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Times New Roman" w:hAnsi="Times New Roman" w:cs="Times New Roman"/>
          <w:sz w:val="24"/>
          <w:szCs w:val="24"/>
          <w:lang w:val="en-GB" w:eastAsia="sq-AL"/>
        </w:rPr>
        <w:t xml:space="preserve">The model is structured based on the review of the literature. The factors mentioned by scholars observing the student performance of the graduates during the entire learning process are considered when operationalizing the research. </w:t>
      </w:r>
    </w:p>
    <w:p w14:paraId="407A61A9" w14:textId="77777777" w:rsidR="0076715E" w:rsidRPr="0076715E" w:rsidRDefault="0076715E" w:rsidP="0076715E">
      <w:pPr>
        <w:spacing w:before="120" w:after="120" w:line="276" w:lineRule="auto"/>
        <w:jc w:val="both"/>
        <w:rPr>
          <w:rFonts w:ascii="Times New Roman" w:eastAsia="Times New Roman" w:hAnsi="Times New Roman" w:cs="Times New Roman"/>
          <w:i/>
          <w:iCs/>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 xml:space="preserve">The model uses as depended variable the students’ performance captured through the overall GPA. It is structured as a continual variable with values from 5 to 10. In order to capture the various type of factors the study analyses the factors related to student’s characteristics (gender and income) family background (parents education level) and student’s behaviours (level of class attendance, extent to which students is engaged in a working activity during university studies). Last but not least, in order to create variables that measure the evaluation of the study program, didactic materials and exams as well as motivation, exploratory analysis was used in order to group the variables into 3 factors. These factors, named as evaluation of the course, exams and study and motivation, together with the mentioned variables are presented in Table 1. </w:t>
      </w:r>
    </w:p>
    <w:p w14:paraId="32016EE1" w14:textId="15844FF4" w:rsidR="0076715E" w:rsidRPr="0076715E" w:rsidRDefault="0076715E" w:rsidP="0076715E">
      <w:pPr>
        <w:spacing w:after="0" w:line="240" w:lineRule="auto"/>
        <w:rPr>
          <w:rFonts w:ascii="Calibri" w:eastAsia="Calibri" w:hAnsi="Calibri" w:cs="Times New Roman"/>
          <w:sz w:val="18"/>
          <w:szCs w:val="18"/>
          <w:lang w:val="en-GB"/>
        </w:rPr>
      </w:pPr>
      <w:r w:rsidRPr="0076715E">
        <w:rPr>
          <w:rFonts w:ascii="Times New Roman" w:eastAsia="Calibri" w:hAnsi="Times New Roman" w:cs="Times New Roman"/>
          <w:sz w:val="24"/>
          <w:szCs w:val="24"/>
          <w:lang w:val="en-GB"/>
        </w:rPr>
        <w:lastRenderedPageBreak/>
        <w:t xml:space="preserve">Table </w:t>
      </w:r>
      <w:r w:rsidRPr="0076715E">
        <w:rPr>
          <w:rFonts w:ascii="Times New Roman" w:eastAsia="Calibri" w:hAnsi="Times New Roman" w:cs="Times New Roman"/>
          <w:sz w:val="24"/>
          <w:szCs w:val="24"/>
          <w:lang w:val="en-GB"/>
        </w:rPr>
        <w:fldChar w:fldCharType="begin"/>
      </w:r>
      <w:r w:rsidRPr="0076715E">
        <w:rPr>
          <w:rFonts w:ascii="Times New Roman" w:eastAsia="Calibri" w:hAnsi="Times New Roman" w:cs="Times New Roman"/>
          <w:sz w:val="24"/>
          <w:szCs w:val="24"/>
          <w:lang w:val="en-GB"/>
        </w:rPr>
        <w:instrText xml:space="preserve"> SEQ Table \* ARABIC </w:instrText>
      </w:r>
      <w:r w:rsidRPr="0076715E">
        <w:rPr>
          <w:rFonts w:ascii="Times New Roman" w:eastAsia="Calibri" w:hAnsi="Times New Roman" w:cs="Times New Roman"/>
          <w:sz w:val="24"/>
          <w:szCs w:val="24"/>
          <w:lang w:val="en-GB"/>
        </w:rPr>
        <w:fldChar w:fldCharType="separate"/>
      </w:r>
      <w:r w:rsidRPr="0076715E">
        <w:rPr>
          <w:rFonts w:ascii="Times New Roman" w:eastAsia="Calibri" w:hAnsi="Times New Roman" w:cs="Times New Roman"/>
          <w:noProof/>
          <w:sz w:val="24"/>
          <w:szCs w:val="24"/>
          <w:lang w:val="en-GB"/>
        </w:rPr>
        <w:t>1</w:t>
      </w:r>
      <w:r w:rsidRPr="0076715E">
        <w:rPr>
          <w:rFonts w:ascii="Times New Roman" w:eastAsia="Calibri" w:hAnsi="Times New Roman" w:cs="Times New Roman"/>
          <w:sz w:val="24"/>
          <w:szCs w:val="24"/>
          <w:lang w:val="en-GB"/>
        </w:rPr>
        <w:fldChar w:fldCharType="end"/>
      </w:r>
      <w:r w:rsidRPr="00C603A7">
        <w:rPr>
          <w:rFonts w:ascii="Times New Roman" w:eastAsia="Calibri" w:hAnsi="Times New Roman" w:cs="Times New Roman"/>
          <w:sz w:val="24"/>
          <w:szCs w:val="24"/>
          <w:lang w:val="en-GB"/>
        </w:rPr>
        <w:t>:</w:t>
      </w:r>
      <w:r w:rsidRPr="0076715E">
        <w:rPr>
          <w:rFonts w:ascii="Times New Roman" w:eastAsia="Calibri" w:hAnsi="Times New Roman" w:cs="Times New Roman"/>
          <w:sz w:val="24"/>
          <w:szCs w:val="24"/>
          <w:lang w:val="en-GB"/>
        </w:rPr>
        <w:t xml:space="preserve"> Description of variables and hypothetical relation with the depended variable</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515"/>
        <w:gridCol w:w="5220"/>
        <w:gridCol w:w="1710"/>
      </w:tblGrid>
      <w:tr w:rsidR="0076715E" w:rsidRPr="0076715E" w14:paraId="25B1366F" w14:textId="77777777" w:rsidTr="00561FC0">
        <w:trPr>
          <w:trHeight w:val="213"/>
        </w:trPr>
        <w:tc>
          <w:tcPr>
            <w:tcW w:w="2515" w:type="dxa"/>
            <w:shd w:val="clear" w:color="auto" w:fill="auto"/>
            <w:tcMar>
              <w:top w:w="15" w:type="dxa"/>
              <w:left w:w="15" w:type="dxa"/>
              <w:bottom w:w="0" w:type="dxa"/>
              <w:right w:w="15" w:type="dxa"/>
            </w:tcMar>
            <w:vAlign w:val="bottom"/>
            <w:hideMark/>
          </w:tcPr>
          <w:bookmarkEnd w:id="23"/>
          <w:p w14:paraId="7C078972"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r w:rsidRPr="0076715E">
              <w:rPr>
                <w:rFonts w:ascii="Times New Roman" w:eastAsia="Times New Roman" w:hAnsi="Times New Roman" w:cs="Times New Roman"/>
                <w:b/>
                <w:color w:val="222222"/>
                <w:lang w:val="en-GB" w:eastAsia="sq-AL"/>
              </w:rPr>
              <w:t>Type of variable</w:t>
            </w:r>
          </w:p>
        </w:tc>
        <w:tc>
          <w:tcPr>
            <w:tcW w:w="5220" w:type="dxa"/>
            <w:shd w:val="clear" w:color="auto" w:fill="auto"/>
            <w:tcMar>
              <w:top w:w="15" w:type="dxa"/>
              <w:left w:w="15" w:type="dxa"/>
              <w:bottom w:w="0" w:type="dxa"/>
              <w:right w:w="15" w:type="dxa"/>
            </w:tcMar>
            <w:vAlign w:val="bottom"/>
            <w:hideMark/>
          </w:tcPr>
          <w:p w14:paraId="4830E734"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r w:rsidRPr="0076715E">
              <w:rPr>
                <w:rFonts w:ascii="Times New Roman" w:eastAsia="Times New Roman" w:hAnsi="Times New Roman" w:cs="Times New Roman"/>
                <w:b/>
                <w:color w:val="222222"/>
                <w:lang w:val="en-GB" w:eastAsia="sq-AL"/>
              </w:rPr>
              <w:t>Description</w:t>
            </w:r>
          </w:p>
        </w:tc>
        <w:tc>
          <w:tcPr>
            <w:tcW w:w="1710" w:type="dxa"/>
          </w:tcPr>
          <w:p w14:paraId="17229B6C"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r w:rsidRPr="0076715E">
              <w:rPr>
                <w:rFonts w:ascii="Times New Roman" w:eastAsia="Times New Roman" w:hAnsi="Times New Roman" w:cs="Times New Roman"/>
                <w:b/>
                <w:color w:val="222222"/>
                <w:lang w:val="en-GB" w:eastAsia="sq-AL"/>
              </w:rPr>
              <w:t>Expected relation</w:t>
            </w:r>
          </w:p>
        </w:tc>
      </w:tr>
      <w:tr w:rsidR="0076715E" w:rsidRPr="0076715E" w14:paraId="74531E87" w14:textId="77777777" w:rsidTr="00561FC0">
        <w:trPr>
          <w:trHeight w:val="213"/>
        </w:trPr>
        <w:tc>
          <w:tcPr>
            <w:tcW w:w="2515" w:type="dxa"/>
            <w:shd w:val="clear" w:color="auto" w:fill="auto"/>
            <w:tcMar>
              <w:top w:w="15" w:type="dxa"/>
              <w:left w:w="15" w:type="dxa"/>
              <w:bottom w:w="0" w:type="dxa"/>
              <w:right w:w="15" w:type="dxa"/>
            </w:tcMar>
            <w:vAlign w:val="bottom"/>
          </w:tcPr>
          <w:p w14:paraId="1A81FCA5"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r w:rsidRPr="0076715E">
              <w:rPr>
                <w:rFonts w:ascii="Times New Roman" w:eastAsia="Times New Roman" w:hAnsi="Times New Roman" w:cs="Times New Roman"/>
                <w:b/>
                <w:color w:val="222222"/>
                <w:lang w:val="en-GB" w:eastAsia="sq-AL"/>
              </w:rPr>
              <w:t xml:space="preserve">Depended variable </w:t>
            </w:r>
          </w:p>
        </w:tc>
        <w:tc>
          <w:tcPr>
            <w:tcW w:w="5220" w:type="dxa"/>
            <w:shd w:val="clear" w:color="auto" w:fill="auto"/>
            <w:tcMar>
              <w:top w:w="15" w:type="dxa"/>
              <w:left w:w="15" w:type="dxa"/>
              <w:bottom w:w="0" w:type="dxa"/>
              <w:right w:w="15" w:type="dxa"/>
            </w:tcMar>
            <w:vAlign w:val="bottom"/>
          </w:tcPr>
          <w:p w14:paraId="07C601E3"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p>
        </w:tc>
        <w:tc>
          <w:tcPr>
            <w:tcW w:w="1710" w:type="dxa"/>
          </w:tcPr>
          <w:p w14:paraId="524320EE"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p>
        </w:tc>
      </w:tr>
      <w:tr w:rsidR="0076715E" w:rsidRPr="0076715E" w14:paraId="63D58F0A" w14:textId="77777777" w:rsidTr="00561FC0">
        <w:trPr>
          <w:trHeight w:val="213"/>
        </w:trPr>
        <w:tc>
          <w:tcPr>
            <w:tcW w:w="2515" w:type="dxa"/>
            <w:shd w:val="clear" w:color="auto" w:fill="auto"/>
            <w:tcMar>
              <w:top w:w="15" w:type="dxa"/>
              <w:left w:w="15" w:type="dxa"/>
              <w:bottom w:w="0" w:type="dxa"/>
              <w:right w:w="15" w:type="dxa"/>
            </w:tcMar>
          </w:tcPr>
          <w:p w14:paraId="33C7199B"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r w:rsidRPr="0076715E">
              <w:rPr>
                <w:rFonts w:ascii="Times New Roman" w:eastAsia="Times New Roman" w:hAnsi="Times New Roman" w:cs="Times New Roman"/>
                <w:color w:val="222222"/>
                <w:lang w:val="en-GB" w:eastAsia="sq-AL"/>
              </w:rPr>
              <w:t>University GPA</w:t>
            </w:r>
          </w:p>
        </w:tc>
        <w:tc>
          <w:tcPr>
            <w:tcW w:w="5220" w:type="dxa"/>
            <w:shd w:val="clear" w:color="auto" w:fill="auto"/>
            <w:tcMar>
              <w:top w:w="15" w:type="dxa"/>
              <w:left w:w="15" w:type="dxa"/>
              <w:bottom w:w="0" w:type="dxa"/>
              <w:right w:w="15" w:type="dxa"/>
            </w:tcMar>
          </w:tcPr>
          <w:p w14:paraId="782E0CD2"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r w:rsidRPr="0076715E">
              <w:rPr>
                <w:rFonts w:ascii="Times New Roman" w:eastAsia="Times New Roman" w:hAnsi="Times New Roman" w:cs="Times New Roman"/>
                <w:color w:val="222222"/>
                <w:lang w:val="en-GB" w:eastAsia="sq-AL"/>
              </w:rPr>
              <w:t>Numeric</w:t>
            </w:r>
          </w:p>
        </w:tc>
        <w:tc>
          <w:tcPr>
            <w:tcW w:w="1710" w:type="dxa"/>
          </w:tcPr>
          <w:p w14:paraId="19AED95D"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p>
        </w:tc>
      </w:tr>
      <w:tr w:rsidR="0076715E" w:rsidRPr="0076715E" w14:paraId="55DE3292" w14:textId="77777777" w:rsidTr="00561FC0">
        <w:trPr>
          <w:trHeight w:val="213"/>
        </w:trPr>
        <w:tc>
          <w:tcPr>
            <w:tcW w:w="2515" w:type="dxa"/>
            <w:shd w:val="clear" w:color="auto" w:fill="auto"/>
            <w:tcMar>
              <w:top w:w="15" w:type="dxa"/>
              <w:left w:w="15" w:type="dxa"/>
              <w:bottom w:w="0" w:type="dxa"/>
              <w:right w:w="15" w:type="dxa"/>
            </w:tcMar>
          </w:tcPr>
          <w:p w14:paraId="12DD4CB3" w14:textId="77777777" w:rsidR="0076715E" w:rsidRPr="0076715E" w:rsidRDefault="0076715E" w:rsidP="0076715E">
            <w:pPr>
              <w:spacing w:after="0" w:line="240" w:lineRule="auto"/>
              <w:rPr>
                <w:rFonts w:ascii="Times New Roman" w:eastAsia="Times New Roman" w:hAnsi="Times New Roman" w:cs="Times New Roman"/>
                <w:b/>
                <w:bCs/>
                <w:color w:val="222222"/>
                <w:lang w:val="en-GB" w:eastAsia="sq-AL"/>
              </w:rPr>
            </w:pPr>
            <w:r w:rsidRPr="0076715E">
              <w:rPr>
                <w:rFonts w:ascii="Times New Roman" w:eastAsia="Times New Roman" w:hAnsi="Times New Roman" w:cs="Times New Roman"/>
                <w:b/>
                <w:bCs/>
                <w:color w:val="222222"/>
                <w:lang w:val="en-GB" w:eastAsia="sq-AL"/>
              </w:rPr>
              <w:t>Independed variables</w:t>
            </w:r>
          </w:p>
        </w:tc>
        <w:tc>
          <w:tcPr>
            <w:tcW w:w="5220" w:type="dxa"/>
            <w:shd w:val="clear" w:color="auto" w:fill="auto"/>
            <w:tcMar>
              <w:top w:w="15" w:type="dxa"/>
              <w:left w:w="15" w:type="dxa"/>
              <w:bottom w:w="0" w:type="dxa"/>
              <w:right w:w="15" w:type="dxa"/>
            </w:tcMar>
          </w:tcPr>
          <w:p w14:paraId="4ED42F3E"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p>
        </w:tc>
        <w:tc>
          <w:tcPr>
            <w:tcW w:w="1710" w:type="dxa"/>
          </w:tcPr>
          <w:p w14:paraId="3D252A8D" w14:textId="77777777" w:rsidR="0076715E" w:rsidRPr="0076715E" w:rsidRDefault="0076715E" w:rsidP="0076715E">
            <w:pPr>
              <w:spacing w:after="0" w:line="240" w:lineRule="auto"/>
              <w:rPr>
                <w:rFonts w:ascii="Times New Roman" w:eastAsia="Times New Roman" w:hAnsi="Times New Roman" w:cs="Times New Roman"/>
                <w:b/>
                <w:color w:val="222222"/>
                <w:lang w:val="en-GB" w:eastAsia="sq-AL"/>
              </w:rPr>
            </w:pPr>
          </w:p>
        </w:tc>
      </w:tr>
      <w:tr w:rsidR="0076715E" w:rsidRPr="0076715E" w14:paraId="2F5FD11A" w14:textId="77777777" w:rsidTr="00561FC0">
        <w:trPr>
          <w:trHeight w:val="213"/>
        </w:trPr>
        <w:tc>
          <w:tcPr>
            <w:tcW w:w="2515" w:type="dxa"/>
            <w:shd w:val="clear" w:color="auto" w:fill="auto"/>
            <w:tcMar>
              <w:top w:w="15" w:type="dxa"/>
              <w:left w:w="15" w:type="dxa"/>
              <w:bottom w:w="0" w:type="dxa"/>
              <w:right w:w="15" w:type="dxa"/>
            </w:tcMar>
          </w:tcPr>
          <w:p w14:paraId="4846F297" w14:textId="77777777" w:rsidR="0076715E" w:rsidRPr="0076715E" w:rsidRDefault="0076715E" w:rsidP="0076715E">
            <w:pPr>
              <w:spacing w:after="0" w:line="240" w:lineRule="auto"/>
              <w:rPr>
                <w:rFonts w:ascii="Times New Roman" w:eastAsia="Times New Roman" w:hAnsi="Times New Roman" w:cs="Times New Roman"/>
                <w:b/>
                <w:bCs/>
                <w:color w:val="222222"/>
                <w:lang w:val="en-GB" w:eastAsia="sq-AL"/>
              </w:rPr>
            </w:pPr>
            <w:r w:rsidRPr="0076715E">
              <w:rPr>
                <w:rFonts w:ascii="Times New Roman" w:eastAsia="Times New Roman" w:hAnsi="Times New Roman" w:cs="Times New Roman"/>
                <w:color w:val="222222"/>
                <w:lang w:val="en-GB" w:eastAsia="sq-AL"/>
              </w:rPr>
              <w:t>High school GPA_</w:t>
            </w:r>
          </w:p>
        </w:tc>
        <w:tc>
          <w:tcPr>
            <w:tcW w:w="5220" w:type="dxa"/>
            <w:shd w:val="clear" w:color="auto" w:fill="auto"/>
            <w:tcMar>
              <w:top w:w="15" w:type="dxa"/>
              <w:left w:w="15" w:type="dxa"/>
              <w:bottom w:w="0" w:type="dxa"/>
              <w:right w:w="15" w:type="dxa"/>
            </w:tcMar>
          </w:tcPr>
          <w:p w14:paraId="64D565BE"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Numeric</w:t>
            </w:r>
          </w:p>
        </w:tc>
        <w:tc>
          <w:tcPr>
            <w:tcW w:w="1710" w:type="dxa"/>
          </w:tcPr>
          <w:p w14:paraId="69AD1086" w14:textId="77777777" w:rsidR="0076715E" w:rsidRPr="0076715E" w:rsidRDefault="0076715E" w:rsidP="0076715E">
            <w:pPr>
              <w:spacing w:after="0" w:line="240" w:lineRule="auto"/>
              <w:jc w:val="center"/>
              <w:rPr>
                <w:rFonts w:ascii="Times New Roman" w:eastAsia="Times New Roman" w:hAnsi="Times New Roman" w:cs="Times New Roman"/>
                <w:b/>
                <w:color w:val="222222"/>
                <w:lang w:val="en-GB" w:eastAsia="sq-AL"/>
              </w:rPr>
            </w:pPr>
            <w:r w:rsidRPr="0076715E">
              <w:rPr>
                <w:rFonts w:ascii="Times New Roman" w:eastAsia="Times New Roman" w:hAnsi="Times New Roman" w:cs="Times New Roman"/>
                <w:b/>
                <w:color w:val="222222"/>
                <w:lang w:val="en-GB" w:eastAsia="sq-AL"/>
              </w:rPr>
              <w:t>+</w:t>
            </w:r>
          </w:p>
        </w:tc>
      </w:tr>
      <w:tr w:rsidR="0076715E" w:rsidRPr="0076715E" w14:paraId="4A16FFCA" w14:textId="77777777" w:rsidTr="00561FC0">
        <w:trPr>
          <w:trHeight w:val="213"/>
        </w:trPr>
        <w:tc>
          <w:tcPr>
            <w:tcW w:w="2515" w:type="dxa"/>
            <w:shd w:val="clear" w:color="auto" w:fill="auto"/>
            <w:tcMar>
              <w:top w:w="15" w:type="dxa"/>
              <w:left w:w="15" w:type="dxa"/>
              <w:bottom w:w="0" w:type="dxa"/>
              <w:right w:w="15" w:type="dxa"/>
            </w:tcMar>
            <w:hideMark/>
          </w:tcPr>
          <w:p w14:paraId="09E5A5EB"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Gender (F=1)</w:t>
            </w:r>
          </w:p>
        </w:tc>
        <w:tc>
          <w:tcPr>
            <w:tcW w:w="5220" w:type="dxa"/>
            <w:shd w:val="clear" w:color="auto" w:fill="auto"/>
            <w:tcMar>
              <w:top w:w="15" w:type="dxa"/>
              <w:left w:w="15" w:type="dxa"/>
              <w:bottom w:w="0" w:type="dxa"/>
              <w:right w:w="15" w:type="dxa"/>
            </w:tcMar>
            <w:hideMark/>
          </w:tcPr>
          <w:p w14:paraId="4A1AE92F"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Binary (male =0, female=1)</w:t>
            </w:r>
          </w:p>
        </w:tc>
        <w:tc>
          <w:tcPr>
            <w:tcW w:w="1710" w:type="dxa"/>
          </w:tcPr>
          <w:p w14:paraId="05708E7D"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Control variable</w:t>
            </w:r>
          </w:p>
        </w:tc>
      </w:tr>
      <w:tr w:rsidR="0076715E" w:rsidRPr="0076715E" w14:paraId="73404BCC" w14:textId="77777777" w:rsidTr="00561FC0">
        <w:trPr>
          <w:trHeight w:val="213"/>
        </w:trPr>
        <w:tc>
          <w:tcPr>
            <w:tcW w:w="2515" w:type="dxa"/>
            <w:shd w:val="clear" w:color="auto" w:fill="auto"/>
            <w:tcMar>
              <w:top w:w="15" w:type="dxa"/>
              <w:left w:w="15" w:type="dxa"/>
              <w:bottom w:w="0" w:type="dxa"/>
              <w:right w:w="15" w:type="dxa"/>
            </w:tcMar>
            <w:hideMark/>
          </w:tcPr>
          <w:p w14:paraId="6F5FD2EE"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Income</w:t>
            </w:r>
          </w:p>
        </w:tc>
        <w:tc>
          <w:tcPr>
            <w:tcW w:w="5220" w:type="dxa"/>
            <w:shd w:val="clear" w:color="auto" w:fill="auto"/>
            <w:tcMar>
              <w:top w:w="15" w:type="dxa"/>
              <w:left w:w="15" w:type="dxa"/>
              <w:bottom w:w="0" w:type="dxa"/>
              <w:right w:w="15" w:type="dxa"/>
            </w:tcMar>
            <w:hideMark/>
          </w:tcPr>
          <w:p w14:paraId="4A2BD98A"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Numeric, but observed in classes</w:t>
            </w:r>
          </w:p>
        </w:tc>
        <w:tc>
          <w:tcPr>
            <w:tcW w:w="1710" w:type="dxa"/>
          </w:tcPr>
          <w:p w14:paraId="0F455E53" w14:textId="77777777" w:rsidR="0076715E" w:rsidRPr="0076715E" w:rsidRDefault="0076715E" w:rsidP="0076715E">
            <w:pPr>
              <w:spacing w:after="0" w:line="240" w:lineRule="auto"/>
              <w:jc w:val="center"/>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w:t>
            </w:r>
          </w:p>
        </w:tc>
      </w:tr>
      <w:tr w:rsidR="0076715E" w:rsidRPr="0076715E" w14:paraId="75E22A2D" w14:textId="77777777" w:rsidTr="00561FC0">
        <w:trPr>
          <w:trHeight w:val="472"/>
        </w:trPr>
        <w:tc>
          <w:tcPr>
            <w:tcW w:w="2515" w:type="dxa"/>
            <w:shd w:val="clear" w:color="auto" w:fill="auto"/>
            <w:tcMar>
              <w:top w:w="15" w:type="dxa"/>
              <w:left w:w="15" w:type="dxa"/>
              <w:bottom w:w="0" w:type="dxa"/>
              <w:right w:w="15" w:type="dxa"/>
            </w:tcMar>
            <w:hideMark/>
          </w:tcPr>
          <w:p w14:paraId="04A8D36A"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Father education</w:t>
            </w:r>
          </w:p>
          <w:p w14:paraId="5BC33830"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p>
        </w:tc>
        <w:tc>
          <w:tcPr>
            <w:tcW w:w="5220" w:type="dxa"/>
            <w:vMerge w:val="restart"/>
            <w:shd w:val="clear" w:color="auto" w:fill="auto"/>
            <w:tcMar>
              <w:top w:w="15" w:type="dxa"/>
              <w:left w:w="15" w:type="dxa"/>
              <w:bottom w:w="0" w:type="dxa"/>
              <w:right w:w="15" w:type="dxa"/>
            </w:tcMar>
            <w:hideMark/>
          </w:tcPr>
          <w:p w14:paraId="6B4F697E"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Category (ordinal)</w:t>
            </w:r>
          </w:p>
          <w:p w14:paraId="608F01BB"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1=no qualification; 2=primary-school certificate</w:t>
            </w:r>
          </w:p>
          <w:p w14:paraId="69423F9E"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3=middle-school certificate; 4=secondary school; 5=degree (specify which one)</w:t>
            </w:r>
          </w:p>
        </w:tc>
        <w:tc>
          <w:tcPr>
            <w:tcW w:w="1710" w:type="dxa"/>
          </w:tcPr>
          <w:p w14:paraId="2D8F84B0"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Control variable</w:t>
            </w:r>
          </w:p>
        </w:tc>
      </w:tr>
      <w:tr w:rsidR="0076715E" w:rsidRPr="0076715E" w14:paraId="412B3CB2" w14:textId="77777777" w:rsidTr="00561FC0">
        <w:trPr>
          <w:trHeight w:val="282"/>
        </w:trPr>
        <w:tc>
          <w:tcPr>
            <w:tcW w:w="2515" w:type="dxa"/>
            <w:shd w:val="clear" w:color="auto" w:fill="auto"/>
            <w:tcMar>
              <w:top w:w="15" w:type="dxa"/>
              <w:left w:w="15" w:type="dxa"/>
              <w:bottom w:w="0" w:type="dxa"/>
              <w:right w:w="15" w:type="dxa"/>
            </w:tcMar>
            <w:hideMark/>
          </w:tcPr>
          <w:p w14:paraId="0079032D"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Mother education</w:t>
            </w:r>
          </w:p>
        </w:tc>
        <w:tc>
          <w:tcPr>
            <w:tcW w:w="5220" w:type="dxa"/>
            <w:vMerge/>
            <w:shd w:val="clear" w:color="auto" w:fill="auto"/>
            <w:vAlign w:val="center"/>
            <w:hideMark/>
          </w:tcPr>
          <w:p w14:paraId="3D7B8E85"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p>
        </w:tc>
        <w:tc>
          <w:tcPr>
            <w:tcW w:w="1710" w:type="dxa"/>
          </w:tcPr>
          <w:p w14:paraId="48174E7F"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Control variable</w:t>
            </w:r>
          </w:p>
        </w:tc>
      </w:tr>
      <w:tr w:rsidR="0076715E" w:rsidRPr="0076715E" w14:paraId="1C3A75EB" w14:textId="77777777" w:rsidTr="00561FC0">
        <w:trPr>
          <w:trHeight w:val="772"/>
        </w:trPr>
        <w:tc>
          <w:tcPr>
            <w:tcW w:w="2515" w:type="dxa"/>
            <w:shd w:val="clear" w:color="auto" w:fill="auto"/>
            <w:tcMar>
              <w:top w:w="15" w:type="dxa"/>
              <w:left w:w="15" w:type="dxa"/>
              <w:bottom w:w="0" w:type="dxa"/>
              <w:right w:w="15" w:type="dxa"/>
            </w:tcMar>
            <w:hideMark/>
          </w:tcPr>
          <w:p w14:paraId="32C45B59"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Class attendance</w:t>
            </w:r>
          </w:p>
        </w:tc>
        <w:tc>
          <w:tcPr>
            <w:tcW w:w="5220" w:type="dxa"/>
            <w:shd w:val="clear" w:color="auto" w:fill="auto"/>
            <w:tcMar>
              <w:top w:w="15" w:type="dxa"/>
              <w:left w:w="15" w:type="dxa"/>
              <w:bottom w:w="0" w:type="dxa"/>
              <w:right w:w="15" w:type="dxa"/>
            </w:tcMar>
            <w:hideMark/>
          </w:tcPr>
          <w:p w14:paraId="31F12147"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Numeric, but observed in classes</w:t>
            </w:r>
          </w:p>
          <w:p w14:paraId="0A966043"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 xml:space="preserve">       -25%</w:t>
            </w:r>
          </w:p>
          <w:p w14:paraId="45F7980C"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25%-50%</w:t>
            </w:r>
          </w:p>
          <w:p w14:paraId="4690D68E"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50%-75%</w:t>
            </w:r>
          </w:p>
          <w:p w14:paraId="3D83E964"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More than 75%</w:t>
            </w:r>
          </w:p>
        </w:tc>
        <w:tc>
          <w:tcPr>
            <w:tcW w:w="1710" w:type="dxa"/>
          </w:tcPr>
          <w:p w14:paraId="089D7913" w14:textId="77777777" w:rsidR="0076715E" w:rsidRPr="0076715E" w:rsidRDefault="0076715E" w:rsidP="0076715E">
            <w:pPr>
              <w:spacing w:after="0" w:line="240" w:lineRule="auto"/>
              <w:jc w:val="center"/>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w:t>
            </w:r>
          </w:p>
        </w:tc>
      </w:tr>
      <w:tr w:rsidR="0076715E" w:rsidRPr="0076715E" w14:paraId="15CB6022" w14:textId="77777777" w:rsidTr="00561FC0">
        <w:trPr>
          <w:trHeight w:val="213"/>
        </w:trPr>
        <w:tc>
          <w:tcPr>
            <w:tcW w:w="2515" w:type="dxa"/>
            <w:shd w:val="clear" w:color="auto" w:fill="auto"/>
            <w:tcMar>
              <w:top w:w="15" w:type="dxa"/>
              <w:left w:w="15" w:type="dxa"/>
              <w:bottom w:w="0" w:type="dxa"/>
              <w:right w:w="15" w:type="dxa"/>
            </w:tcMar>
          </w:tcPr>
          <w:p w14:paraId="09CA6BB3"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Working activity during university studies</w:t>
            </w:r>
          </w:p>
        </w:tc>
        <w:tc>
          <w:tcPr>
            <w:tcW w:w="5220" w:type="dxa"/>
            <w:shd w:val="clear" w:color="auto" w:fill="auto"/>
            <w:tcMar>
              <w:top w:w="15" w:type="dxa"/>
              <w:left w:w="15" w:type="dxa"/>
              <w:bottom w:w="0" w:type="dxa"/>
              <w:right w:w="15" w:type="dxa"/>
            </w:tcMar>
          </w:tcPr>
          <w:p w14:paraId="359275C3"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 xml:space="preserve">1=No </w:t>
            </w:r>
          </w:p>
          <w:p w14:paraId="4EBC9B79"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2=Yes, it was an occasional, irregular or seasonal work activity</w:t>
            </w:r>
          </w:p>
          <w:p w14:paraId="34A53E6F"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3=Yes, an ongoing part-time job</w:t>
            </w:r>
          </w:p>
          <w:p w14:paraId="4258FB1F"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4=Yes, an ongoing full-time job</w:t>
            </w:r>
          </w:p>
        </w:tc>
        <w:tc>
          <w:tcPr>
            <w:tcW w:w="1710" w:type="dxa"/>
          </w:tcPr>
          <w:p w14:paraId="6AA6A316" w14:textId="77777777" w:rsidR="0076715E" w:rsidRPr="0076715E" w:rsidRDefault="0076715E" w:rsidP="0076715E">
            <w:pPr>
              <w:spacing w:after="0" w:line="240" w:lineRule="auto"/>
              <w:jc w:val="center"/>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w:t>
            </w:r>
          </w:p>
        </w:tc>
      </w:tr>
      <w:tr w:rsidR="0076715E" w:rsidRPr="0076715E" w14:paraId="5E79CFD4" w14:textId="77777777" w:rsidTr="00561FC0">
        <w:trPr>
          <w:trHeight w:val="213"/>
        </w:trPr>
        <w:tc>
          <w:tcPr>
            <w:tcW w:w="2515" w:type="dxa"/>
            <w:shd w:val="clear" w:color="auto" w:fill="auto"/>
            <w:tcMar>
              <w:top w:w="15" w:type="dxa"/>
              <w:left w:w="15" w:type="dxa"/>
              <w:bottom w:w="0" w:type="dxa"/>
              <w:right w:w="15" w:type="dxa"/>
            </w:tcMar>
            <w:hideMark/>
          </w:tcPr>
          <w:p w14:paraId="3633A35D"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Evaluation of the course</w:t>
            </w:r>
          </w:p>
        </w:tc>
        <w:tc>
          <w:tcPr>
            <w:tcW w:w="5220" w:type="dxa"/>
            <w:shd w:val="clear" w:color="auto" w:fill="auto"/>
            <w:tcMar>
              <w:top w:w="15" w:type="dxa"/>
              <w:left w:w="15" w:type="dxa"/>
              <w:bottom w:w="0" w:type="dxa"/>
              <w:right w:w="15" w:type="dxa"/>
            </w:tcMar>
            <w:hideMark/>
          </w:tcPr>
          <w:p w14:paraId="760EE44C"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Composite variable by EFA</w:t>
            </w:r>
          </w:p>
        </w:tc>
        <w:tc>
          <w:tcPr>
            <w:tcW w:w="1710" w:type="dxa"/>
          </w:tcPr>
          <w:p w14:paraId="34593CAF" w14:textId="77777777" w:rsidR="0076715E" w:rsidRPr="0076715E" w:rsidRDefault="0076715E" w:rsidP="0076715E">
            <w:pPr>
              <w:spacing w:after="0" w:line="240" w:lineRule="auto"/>
              <w:jc w:val="center"/>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w:t>
            </w:r>
          </w:p>
        </w:tc>
      </w:tr>
      <w:tr w:rsidR="0076715E" w:rsidRPr="0076715E" w14:paraId="7A48747C" w14:textId="77777777" w:rsidTr="00561FC0">
        <w:trPr>
          <w:trHeight w:val="213"/>
        </w:trPr>
        <w:tc>
          <w:tcPr>
            <w:tcW w:w="2515" w:type="dxa"/>
            <w:shd w:val="clear" w:color="auto" w:fill="auto"/>
            <w:tcMar>
              <w:top w:w="15" w:type="dxa"/>
              <w:left w:w="15" w:type="dxa"/>
              <w:bottom w:w="0" w:type="dxa"/>
              <w:right w:w="15" w:type="dxa"/>
            </w:tcMar>
            <w:hideMark/>
          </w:tcPr>
          <w:p w14:paraId="0226D215"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Exams and study</w:t>
            </w:r>
          </w:p>
        </w:tc>
        <w:tc>
          <w:tcPr>
            <w:tcW w:w="5220" w:type="dxa"/>
            <w:shd w:val="clear" w:color="auto" w:fill="auto"/>
            <w:tcMar>
              <w:top w:w="15" w:type="dxa"/>
              <w:left w:w="15" w:type="dxa"/>
              <w:bottom w:w="0" w:type="dxa"/>
              <w:right w:w="15" w:type="dxa"/>
            </w:tcMar>
            <w:hideMark/>
          </w:tcPr>
          <w:p w14:paraId="26562FD8"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Composite variable by EFA</w:t>
            </w:r>
          </w:p>
        </w:tc>
        <w:tc>
          <w:tcPr>
            <w:tcW w:w="1710" w:type="dxa"/>
          </w:tcPr>
          <w:p w14:paraId="53763E7F" w14:textId="77777777" w:rsidR="0076715E" w:rsidRPr="0076715E" w:rsidRDefault="0076715E" w:rsidP="0076715E">
            <w:pPr>
              <w:spacing w:after="0" w:line="240" w:lineRule="auto"/>
              <w:jc w:val="center"/>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w:t>
            </w:r>
          </w:p>
        </w:tc>
      </w:tr>
      <w:tr w:rsidR="0076715E" w:rsidRPr="0076715E" w14:paraId="44B9B050" w14:textId="77777777" w:rsidTr="00561FC0">
        <w:trPr>
          <w:trHeight w:val="186"/>
        </w:trPr>
        <w:tc>
          <w:tcPr>
            <w:tcW w:w="2515" w:type="dxa"/>
            <w:shd w:val="clear" w:color="auto" w:fill="auto"/>
            <w:tcMar>
              <w:top w:w="15" w:type="dxa"/>
              <w:left w:w="15" w:type="dxa"/>
              <w:bottom w:w="0" w:type="dxa"/>
              <w:right w:w="15" w:type="dxa"/>
            </w:tcMar>
            <w:hideMark/>
          </w:tcPr>
          <w:p w14:paraId="48A9BDE5"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Motivation</w:t>
            </w:r>
          </w:p>
        </w:tc>
        <w:tc>
          <w:tcPr>
            <w:tcW w:w="5220" w:type="dxa"/>
            <w:shd w:val="clear" w:color="auto" w:fill="auto"/>
            <w:tcMar>
              <w:top w:w="15" w:type="dxa"/>
              <w:left w:w="15" w:type="dxa"/>
              <w:bottom w:w="0" w:type="dxa"/>
              <w:right w:w="15" w:type="dxa"/>
            </w:tcMar>
            <w:hideMark/>
          </w:tcPr>
          <w:p w14:paraId="32E6D5FB" w14:textId="77777777" w:rsidR="0076715E" w:rsidRPr="0076715E" w:rsidRDefault="0076715E" w:rsidP="0076715E">
            <w:pPr>
              <w:spacing w:after="0" w:line="240" w:lineRule="auto"/>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Composite variable by EFA</w:t>
            </w:r>
          </w:p>
        </w:tc>
        <w:tc>
          <w:tcPr>
            <w:tcW w:w="1710" w:type="dxa"/>
          </w:tcPr>
          <w:p w14:paraId="5CABC537" w14:textId="77777777" w:rsidR="0076715E" w:rsidRPr="0076715E" w:rsidRDefault="0076715E" w:rsidP="0076715E">
            <w:pPr>
              <w:spacing w:after="0" w:line="240" w:lineRule="auto"/>
              <w:jc w:val="center"/>
              <w:rPr>
                <w:rFonts w:ascii="Times New Roman" w:eastAsia="Times New Roman" w:hAnsi="Times New Roman" w:cs="Times New Roman"/>
                <w:color w:val="222222"/>
                <w:lang w:val="en-GB" w:eastAsia="sq-AL"/>
              </w:rPr>
            </w:pPr>
            <w:r w:rsidRPr="0076715E">
              <w:rPr>
                <w:rFonts w:ascii="Times New Roman" w:eastAsia="Times New Roman" w:hAnsi="Times New Roman" w:cs="Times New Roman"/>
                <w:color w:val="222222"/>
                <w:lang w:val="en-GB" w:eastAsia="sq-AL"/>
              </w:rPr>
              <w:t>+</w:t>
            </w:r>
          </w:p>
        </w:tc>
      </w:tr>
    </w:tbl>
    <w:p w14:paraId="22ADC508" w14:textId="77777777" w:rsidR="0076715E" w:rsidRPr="0076715E" w:rsidRDefault="0076715E" w:rsidP="0076715E">
      <w:pPr>
        <w:shd w:val="clear" w:color="auto" w:fill="FFFFFF"/>
        <w:spacing w:after="100" w:afterAutospacing="1" w:line="276" w:lineRule="auto"/>
        <w:jc w:val="both"/>
        <w:rPr>
          <w:rFonts w:ascii="Times New Roman" w:eastAsia="Times New Roman" w:hAnsi="Times New Roman" w:cs="Times New Roman"/>
          <w:i/>
          <w:iCs/>
          <w:color w:val="222222"/>
          <w:sz w:val="20"/>
          <w:szCs w:val="20"/>
          <w:lang w:val="en-GB" w:eastAsia="sq-AL"/>
        </w:rPr>
      </w:pPr>
      <w:r w:rsidRPr="0076715E">
        <w:rPr>
          <w:rFonts w:ascii="Times New Roman" w:eastAsia="Times New Roman" w:hAnsi="Times New Roman" w:cs="Times New Roman"/>
          <w:i/>
          <w:iCs/>
          <w:color w:val="222222"/>
          <w:sz w:val="20"/>
          <w:szCs w:val="20"/>
          <w:lang w:val="en-GB" w:eastAsia="sq-AL"/>
        </w:rPr>
        <w:t>Source: Authors own elaboration</w:t>
      </w:r>
    </w:p>
    <w:p w14:paraId="7F6C80D2" w14:textId="77777777" w:rsidR="0076715E" w:rsidRPr="00626499" w:rsidRDefault="0076715E" w:rsidP="0076715E">
      <w:pPr>
        <w:shd w:val="clear" w:color="auto" w:fill="FFFFFF"/>
        <w:spacing w:after="0" w:line="360" w:lineRule="auto"/>
        <w:jc w:val="both"/>
        <w:rPr>
          <w:rFonts w:ascii="Times New Roman" w:eastAsia="Times New Roman" w:hAnsi="Times New Roman" w:cs="Times New Roman"/>
          <w:b/>
          <w:bCs/>
          <w:color w:val="222222"/>
          <w:sz w:val="24"/>
          <w:szCs w:val="24"/>
          <w:lang w:val="en-GB" w:eastAsia="sq-AL"/>
        </w:rPr>
      </w:pPr>
      <w:r w:rsidRPr="00626499">
        <w:rPr>
          <w:rFonts w:ascii="Times New Roman" w:eastAsia="Times New Roman" w:hAnsi="Times New Roman" w:cs="Times New Roman"/>
          <w:b/>
          <w:bCs/>
          <w:color w:val="222222"/>
          <w:sz w:val="24"/>
          <w:szCs w:val="24"/>
          <w:lang w:val="en-GB" w:eastAsia="sq-AL"/>
        </w:rPr>
        <w:t>Data</w:t>
      </w:r>
    </w:p>
    <w:p w14:paraId="0096EBFC" w14:textId="7405EB6C"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sz w:val="24"/>
          <w:szCs w:val="24"/>
          <w:lang w:val="en-GB" w:eastAsia="sq-AL"/>
        </w:rPr>
      </w:pPr>
      <w:r w:rsidRPr="0076715E">
        <w:rPr>
          <w:rFonts w:ascii="Times New Roman" w:eastAsia="Times New Roman" w:hAnsi="Times New Roman" w:cs="Times New Roman"/>
          <w:sz w:val="24"/>
          <w:szCs w:val="24"/>
          <w:lang w:val="en-GB" w:eastAsia="sq-AL"/>
        </w:rPr>
        <w:t>The data analysis is largely based on a new and unique database for Albania named GRADUA. Administrative data obtained at the Agricultural University of Tirana are</w:t>
      </w:r>
      <w:r w:rsidRPr="0076715E" w:rsidDel="007069C0">
        <w:rPr>
          <w:rFonts w:ascii="Times New Roman" w:eastAsia="Times New Roman" w:hAnsi="Times New Roman" w:cs="Times New Roman"/>
          <w:sz w:val="24"/>
          <w:szCs w:val="24"/>
          <w:lang w:val="en-GB" w:eastAsia="sq-AL"/>
        </w:rPr>
        <w:t xml:space="preserve"> </w:t>
      </w:r>
      <w:r w:rsidRPr="0076715E">
        <w:rPr>
          <w:rFonts w:ascii="Times New Roman" w:eastAsia="Times New Roman" w:hAnsi="Times New Roman" w:cs="Times New Roman"/>
          <w:sz w:val="24"/>
          <w:szCs w:val="24"/>
          <w:lang w:val="en-GB" w:eastAsia="sq-AL"/>
        </w:rPr>
        <w:t xml:space="preserve">also inserted in the analysis. The GRADUA database is derived from the GRADUA, which consists in a university-based platform of data exchange aimed to foster students career path by easing university monitoring of the student as well as increasing access to those actors (firms, government entities and service providers) to trace graduates with a matching profile. </w:t>
      </w:r>
      <w:proofErr w:type="gramStart"/>
      <w:r w:rsidRPr="0076715E">
        <w:rPr>
          <w:rFonts w:ascii="Times New Roman" w:eastAsia="Times New Roman" w:hAnsi="Times New Roman" w:cs="Times New Roman"/>
          <w:sz w:val="24"/>
          <w:szCs w:val="24"/>
          <w:lang w:val="en-GB" w:eastAsia="sq-AL"/>
        </w:rPr>
        <w:t>In order to</w:t>
      </w:r>
      <w:proofErr w:type="gramEnd"/>
      <w:r w:rsidRPr="0076715E">
        <w:rPr>
          <w:rFonts w:ascii="Times New Roman" w:eastAsia="Times New Roman" w:hAnsi="Times New Roman" w:cs="Times New Roman"/>
          <w:sz w:val="24"/>
          <w:szCs w:val="24"/>
          <w:lang w:val="en-GB" w:eastAsia="sq-AL"/>
        </w:rPr>
        <w:t xml:space="preserve"> </w:t>
      </w:r>
      <w:proofErr w:type="spellStart"/>
      <w:r w:rsidR="008C093D">
        <w:rPr>
          <w:rFonts w:ascii="Times New Roman" w:eastAsia="Times New Roman" w:hAnsi="Times New Roman" w:cs="Times New Roman"/>
          <w:sz w:val="24"/>
          <w:szCs w:val="24"/>
          <w:lang w:val="en-GB" w:eastAsia="sq-AL"/>
        </w:rPr>
        <w:t>fulfill</w:t>
      </w:r>
      <w:proofErr w:type="spellEnd"/>
      <w:r w:rsidR="008C093D" w:rsidRPr="0076715E">
        <w:rPr>
          <w:rFonts w:ascii="Times New Roman" w:eastAsia="Times New Roman" w:hAnsi="Times New Roman" w:cs="Times New Roman"/>
          <w:sz w:val="24"/>
          <w:szCs w:val="24"/>
          <w:lang w:val="en-GB" w:eastAsia="sq-AL"/>
        </w:rPr>
        <w:t xml:space="preserve"> </w:t>
      </w:r>
      <w:r w:rsidRPr="0076715E">
        <w:rPr>
          <w:rFonts w:ascii="Times New Roman" w:eastAsia="Times New Roman" w:hAnsi="Times New Roman" w:cs="Times New Roman"/>
          <w:sz w:val="24"/>
          <w:szCs w:val="24"/>
          <w:lang w:val="en-GB" w:eastAsia="sq-AL"/>
        </w:rPr>
        <w:t>the requirements of the University for institutional performance monitoring and institutional support for career development, the students are asked to provide information on their characteristics. A template is used for the collection of information, which consists of 6 sections namely: personal information, education and training, information on the study program, evaluation of the study program that the student is pursuing, information about the family, future intentions and prospects for their career. Filtering the information for AUT from the GRADUA Database and after a thorough cleaning of profiles with missing values, authors were able to access 500 observations. In order to have an accurate variable of student’s performance, the GPA achieved during the university studies as reported by the student, was subject to subsequent checks from the University secretary archives.</w:t>
      </w:r>
    </w:p>
    <w:p w14:paraId="38E7C10B" w14:textId="77777777" w:rsidR="0076715E" w:rsidRPr="0076715E" w:rsidRDefault="0076715E" w:rsidP="0076715E">
      <w:pPr>
        <w:spacing w:before="120" w:after="12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lastRenderedPageBreak/>
        <w:t>In the questionnaire students were asked to express their level of agreement regarding the statements that they are satisfied with the cooperation of staff at different levels, the study program, the appropriateness of didactic materials. In addition, students were asked to fulfil the main interest in the study program with focus on employment. More specific information on the structure and formulation of the questions is found in the table below.</w:t>
      </w:r>
    </w:p>
    <w:p w14:paraId="2DE59A11" w14:textId="77777777" w:rsidR="0076715E" w:rsidRPr="0076715E" w:rsidRDefault="0076715E" w:rsidP="0076715E">
      <w:pPr>
        <w:rPr>
          <w:rFonts w:ascii="Calibri" w:eastAsia="Calibri" w:hAnsi="Calibri" w:cs="Times New Roman"/>
          <w:lang w:val="en-GB" w:eastAsia="sq-AL"/>
        </w:rPr>
      </w:pPr>
    </w:p>
    <w:p w14:paraId="5C543FA9" w14:textId="77777777" w:rsidR="0076715E" w:rsidRPr="0076715E" w:rsidRDefault="0076715E" w:rsidP="0076715E">
      <w:pPr>
        <w:spacing w:after="200" w:line="240" w:lineRule="auto"/>
        <w:rPr>
          <w:rFonts w:ascii="Calibri" w:eastAsia="Calibri" w:hAnsi="Calibri" w:cs="Times New Roman"/>
          <w:sz w:val="18"/>
          <w:szCs w:val="18"/>
          <w:lang w:val="en-GB"/>
        </w:rPr>
      </w:pPr>
      <w:r w:rsidRPr="0076715E">
        <w:rPr>
          <w:rFonts w:ascii="Times New Roman" w:eastAsia="Calibri" w:hAnsi="Times New Roman" w:cs="Times New Roman"/>
          <w:sz w:val="24"/>
          <w:szCs w:val="24"/>
          <w:lang w:val="en-GB"/>
        </w:rPr>
        <w:t xml:space="preserve">Table </w:t>
      </w:r>
      <w:r w:rsidRPr="0076715E">
        <w:rPr>
          <w:rFonts w:ascii="Times New Roman" w:eastAsia="Calibri" w:hAnsi="Times New Roman" w:cs="Times New Roman"/>
          <w:sz w:val="24"/>
          <w:szCs w:val="24"/>
          <w:lang w:val="en-GB"/>
        </w:rPr>
        <w:fldChar w:fldCharType="begin"/>
      </w:r>
      <w:r w:rsidRPr="0076715E">
        <w:rPr>
          <w:rFonts w:ascii="Times New Roman" w:eastAsia="Calibri" w:hAnsi="Times New Roman" w:cs="Times New Roman"/>
          <w:sz w:val="24"/>
          <w:szCs w:val="24"/>
          <w:lang w:val="en-GB"/>
        </w:rPr>
        <w:instrText xml:space="preserve"> SEQ Table \* ARABIC </w:instrText>
      </w:r>
      <w:r w:rsidRPr="0076715E">
        <w:rPr>
          <w:rFonts w:ascii="Times New Roman" w:eastAsia="Calibri" w:hAnsi="Times New Roman" w:cs="Times New Roman"/>
          <w:sz w:val="24"/>
          <w:szCs w:val="24"/>
          <w:lang w:val="en-GB"/>
        </w:rPr>
        <w:fldChar w:fldCharType="separate"/>
      </w:r>
      <w:r w:rsidRPr="0076715E">
        <w:rPr>
          <w:rFonts w:ascii="Times New Roman" w:eastAsia="Calibri" w:hAnsi="Times New Roman" w:cs="Times New Roman"/>
          <w:noProof/>
          <w:sz w:val="24"/>
          <w:szCs w:val="24"/>
          <w:lang w:val="en-GB"/>
        </w:rPr>
        <w:t>2</w:t>
      </w:r>
      <w:r w:rsidRPr="0076715E">
        <w:rPr>
          <w:rFonts w:ascii="Times New Roman" w:eastAsia="Calibri" w:hAnsi="Times New Roman" w:cs="Times New Roman"/>
          <w:sz w:val="24"/>
          <w:szCs w:val="24"/>
          <w:lang w:val="en-GB"/>
        </w:rPr>
        <w:fldChar w:fldCharType="end"/>
      </w:r>
      <w:r w:rsidRPr="0076715E">
        <w:rPr>
          <w:rFonts w:ascii="Times New Roman" w:eastAsia="Calibri" w:hAnsi="Times New Roman" w:cs="Times New Roman"/>
          <w:sz w:val="24"/>
          <w:szCs w:val="24"/>
          <w:lang w:val="en-GB"/>
        </w:rPr>
        <w:t>: Variables use in factor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73"/>
        <w:gridCol w:w="3807"/>
        <w:gridCol w:w="3370"/>
      </w:tblGrid>
      <w:tr w:rsidR="0076715E" w:rsidRPr="0076715E" w14:paraId="68E85B0A" w14:textId="77777777" w:rsidTr="00F35B58">
        <w:trPr>
          <w:trHeight w:val="224"/>
        </w:trPr>
        <w:tc>
          <w:tcPr>
            <w:tcW w:w="2268" w:type="dxa"/>
            <w:shd w:val="clear" w:color="auto" w:fill="auto"/>
            <w:tcMar>
              <w:top w:w="15" w:type="dxa"/>
              <w:left w:w="15" w:type="dxa"/>
              <w:bottom w:w="0" w:type="dxa"/>
              <w:right w:w="15" w:type="dxa"/>
            </w:tcMar>
            <w:hideMark/>
          </w:tcPr>
          <w:p w14:paraId="271B2D28" w14:textId="77777777" w:rsidR="0076715E" w:rsidRPr="0076715E" w:rsidRDefault="0076715E" w:rsidP="0076715E">
            <w:pPr>
              <w:spacing w:after="0" w:line="240" w:lineRule="auto"/>
              <w:ind w:left="58" w:right="58"/>
              <w:rPr>
                <w:rFonts w:ascii="Times New Roman" w:eastAsia="Times New Roman" w:hAnsi="Times New Roman" w:cs="Times New Roman"/>
                <w:b/>
                <w:sz w:val="24"/>
                <w:szCs w:val="24"/>
                <w:lang w:val="en-GB"/>
              </w:rPr>
            </w:pPr>
            <w:r w:rsidRPr="0076715E">
              <w:rPr>
                <w:rFonts w:ascii="Times New Roman" w:eastAsia="Calibri" w:hAnsi="Times New Roman" w:cs="Times New Roman"/>
                <w:b/>
                <w:color w:val="000000"/>
                <w:kern w:val="24"/>
                <w:sz w:val="24"/>
                <w:szCs w:val="24"/>
                <w:lang w:val="en-GB"/>
              </w:rPr>
              <w:t> </w:t>
            </w:r>
          </w:p>
        </w:tc>
        <w:tc>
          <w:tcPr>
            <w:tcW w:w="3995" w:type="dxa"/>
            <w:shd w:val="clear" w:color="auto" w:fill="auto"/>
            <w:tcMar>
              <w:top w:w="15" w:type="dxa"/>
              <w:left w:w="15" w:type="dxa"/>
              <w:bottom w:w="0" w:type="dxa"/>
              <w:right w:w="15" w:type="dxa"/>
            </w:tcMar>
            <w:hideMark/>
          </w:tcPr>
          <w:p w14:paraId="58A02D8C" w14:textId="77777777" w:rsidR="0076715E" w:rsidRPr="0076715E" w:rsidRDefault="0076715E" w:rsidP="0076715E">
            <w:pPr>
              <w:spacing w:after="0" w:line="240" w:lineRule="auto"/>
              <w:rPr>
                <w:rFonts w:ascii="Times New Roman" w:eastAsia="Calibri" w:hAnsi="Times New Roman" w:cs="Times New Roman"/>
                <w:b/>
                <w:sz w:val="24"/>
                <w:szCs w:val="24"/>
                <w:lang w:val="en-GB"/>
              </w:rPr>
            </w:pPr>
            <w:r w:rsidRPr="0076715E">
              <w:rPr>
                <w:rFonts w:ascii="Times New Roman" w:eastAsia="Calibri" w:hAnsi="Times New Roman" w:cs="Times New Roman"/>
                <w:b/>
                <w:sz w:val="24"/>
                <w:szCs w:val="24"/>
                <w:lang w:val="en-GB"/>
              </w:rPr>
              <w:t>Variables use in factor analysis</w:t>
            </w:r>
          </w:p>
        </w:tc>
        <w:tc>
          <w:tcPr>
            <w:tcW w:w="3523" w:type="dxa"/>
            <w:shd w:val="clear" w:color="auto" w:fill="auto"/>
            <w:tcMar>
              <w:top w:w="15" w:type="dxa"/>
              <w:left w:w="15" w:type="dxa"/>
              <w:bottom w:w="0" w:type="dxa"/>
              <w:right w:w="15" w:type="dxa"/>
            </w:tcMar>
            <w:hideMark/>
          </w:tcPr>
          <w:p w14:paraId="140041C8" w14:textId="77777777" w:rsidR="0076715E" w:rsidRPr="0076715E" w:rsidRDefault="0076715E" w:rsidP="0076715E">
            <w:pPr>
              <w:spacing w:after="0" w:line="240" w:lineRule="auto"/>
              <w:rPr>
                <w:rFonts w:ascii="Times New Roman" w:eastAsia="Calibri" w:hAnsi="Times New Roman" w:cs="Times New Roman"/>
                <w:b/>
                <w:sz w:val="24"/>
                <w:szCs w:val="24"/>
                <w:lang w:val="en-GB"/>
              </w:rPr>
            </w:pPr>
            <w:r w:rsidRPr="0076715E">
              <w:rPr>
                <w:rFonts w:ascii="Times New Roman" w:eastAsia="Calibri" w:hAnsi="Times New Roman" w:cs="Times New Roman"/>
                <w:b/>
                <w:sz w:val="24"/>
                <w:szCs w:val="24"/>
                <w:lang w:val="en-GB"/>
              </w:rPr>
              <w:t>Type</w:t>
            </w:r>
          </w:p>
        </w:tc>
      </w:tr>
      <w:tr w:rsidR="0076715E" w:rsidRPr="0076715E" w14:paraId="2F6207FE" w14:textId="77777777" w:rsidTr="00F35B58">
        <w:trPr>
          <w:trHeight w:val="234"/>
        </w:trPr>
        <w:tc>
          <w:tcPr>
            <w:tcW w:w="2268" w:type="dxa"/>
            <w:vMerge w:val="restart"/>
            <w:shd w:val="clear" w:color="auto" w:fill="auto"/>
            <w:tcMar>
              <w:top w:w="15" w:type="dxa"/>
              <w:left w:w="15" w:type="dxa"/>
              <w:bottom w:w="0" w:type="dxa"/>
              <w:right w:w="15" w:type="dxa"/>
            </w:tcMar>
            <w:hideMark/>
          </w:tcPr>
          <w:p w14:paraId="34F9701E"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Are you satisfied with</w:t>
            </w:r>
          </w:p>
        </w:tc>
        <w:tc>
          <w:tcPr>
            <w:tcW w:w="3995" w:type="dxa"/>
            <w:shd w:val="clear" w:color="auto" w:fill="auto"/>
            <w:tcMar>
              <w:top w:w="15" w:type="dxa"/>
              <w:left w:w="15" w:type="dxa"/>
              <w:bottom w:w="0" w:type="dxa"/>
              <w:right w:w="15" w:type="dxa"/>
            </w:tcMar>
            <w:hideMark/>
          </w:tcPr>
          <w:p w14:paraId="604EEE70"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Teacher’s collaborators</w:t>
            </w:r>
          </w:p>
        </w:tc>
        <w:tc>
          <w:tcPr>
            <w:tcW w:w="3523" w:type="dxa"/>
            <w:vMerge w:val="restart"/>
            <w:shd w:val="clear" w:color="auto" w:fill="auto"/>
            <w:tcMar>
              <w:top w:w="15" w:type="dxa"/>
              <w:left w:w="15" w:type="dxa"/>
              <w:bottom w:w="0" w:type="dxa"/>
              <w:right w:w="15" w:type="dxa"/>
            </w:tcMar>
            <w:hideMark/>
          </w:tcPr>
          <w:p w14:paraId="4F1E19BA" w14:textId="77777777" w:rsidR="0076715E" w:rsidRPr="0076715E" w:rsidRDefault="0076715E" w:rsidP="0076715E">
            <w:pPr>
              <w:spacing w:after="0" w:line="240" w:lineRule="auto"/>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Categorized (ordinal) variable</w:t>
            </w:r>
          </w:p>
          <w:p w14:paraId="50CDC2A5" w14:textId="77777777" w:rsidR="0076715E" w:rsidRPr="0076715E" w:rsidRDefault="0076715E" w:rsidP="0076715E">
            <w:pPr>
              <w:spacing w:after="0" w:line="240" w:lineRule="auto"/>
              <w:ind w:firstLine="127"/>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1=no, definitely</w:t>
            </w:r>
          </w:p>
          <w:p w14:paraId="00B11820" w14:textId="77777777" w:rsidR="0076715E" w:rsidRPr="0076715E" w:rsidRDefault="0076715E" w:rsidP="0076715E">
            <w:pPr>
              <w:spacing w:after="0" w:line="240" w:lineRule="auto"/>
              <w:ind w:left="58" w:right="58" w:firstLine="57"/>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2= more no than yes</w:t>
            </w:r>
          </w:p>
          <w:p w14:paraId="24F7317C" w14:textId="77777777" w:rsidR="0076715E" w:rsidRPr="0076715E" w:rsidRDefault="0076715E" w:rsidP="0076715E">
            <w:pPr>
              <w:spacing w:after="0" w:line="240" w:lineRule="auto"/>
              <w:ind w:left="58" w:right="58" w:firstLine="57"/>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3= more yes than no</w:t>
            </w:r>
          </w:p>
          <w:p w14:paraId="3A321BD2" w14:textId="77777777" w:rsidR="0076715E" w:rsidRPr="0076715E" w:rsidRDefault="0076715E" w:rsidP="0076715E">
            <w:pPr>
              <w:spacing w:after="0" w:line="240" w:lineRule="auto"/>
              <w:ind w:left="58" w:right="58" w:firstLine="57"/>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4= yes, definitely</w:t>
            </w:r>
          </w:p>
        </w:tc>
      </w:tr>
      <w:tr w:rsidR="0076715E" w:rsidRPr="0076715E" w14:paraId="25F5393E" w14:textId="77777777" w:rsidTr="00F35B58">
        <w:trPr>
          <w:trHeight w:val="195"/>
        </w:trPr>
        <w:tc>
          <w:tcPr>
            <w:tcW w:w="2268" w:type="dxa"/>
            <w:vMerge/>
            <w:vAlign w:val="center"/>
            <w:hideMark/>
          </w:tcPr>
          <w:p w14:paraId="5ED95C03"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53ABB688"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Teachers in general</w:t>
            </w:r>
          </w:p>
        </w:tc>
        <w:tc>
          <w:tcPr>
            <w:tcW w:w="3523" w:type="dxa"/>
            <w:vMerge/>
            <w:vAlign w:val="center"/>
            <w:hideMark/>
          </w:tcPr>
          <w:p w14:paraId="7D865845"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r w:rsidR="0076715E" w:rsidRPr="0076715E" w14:paraId="3A33C2C0" w14:textId="77777777" w:rsidTr="00F35B58">
        <w:trPr>
          <w:trHeight w:val="286"/>
        </w:trPr>
        <w:tc>
          <w:tcPr>
            <w:tcW w:w="2268" w:type="dxa"/>
            <w:vMerge/>
            <w:vAlign w:val="center"/>
            <w:hideMark/>
          </w:tcPr>
          <w:p w14:paraId="4BA1C1D6"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1795FF11"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Teachers’ availability</w:t>
            </w:r>
          </w:p>
        </w:tc>
        <w:tc>
          <w:tcPr>
            <w:tcW w:w="3523" w:type="dxa"/>
            <w:vMerge/>
            <w:vAlign w:val="center"/>
            <w:hideMark/>
          </w:tcPr>
          <w:p w14:paraId="7066FE39"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r w:rsidR="0076715E" w:rsidRPr="0076715E" w14:paraId="092EFB55" w14:textId="77777777" w:rsidTr="00F35B58">
        <w:trPr>
          <w:trHeight w:val="268"/>
        </w:trPr>
        <w:tc>
          <w:tcPr>
            <w:tcW w:w="2268" w:type="dxa"/>
            <w:vMerge/>
            <w:vAlign w:val="center"/>
            <w:hideMark/>
          </w:tcPr>
          <w:p w14:paraId="6EC304E8"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4AA02B39"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Teaching skills of teachers</w:t>
            </w:r>
          </w:p>
        </w:tc>
        <w:tc>
          <w:tcPr>
            <w:tcW w:w="3523" w:type="dxa"/>
            <w:vMerge/>
            <w:vAlign w:val="center"/>
            <w:hideMark/>
          </w:tcPr>
          <w:p w14:paraId="7DA6F5C1"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r w:rsidR="0076715E" w:rsidRPr="0076715E" w14:paraId="49D5973C" w14:textId="77777777" w:rsidTr="00F35B58">
        <w:trPr>
          <w:trHeight w:val="207"/>
        </w:trPr>
        <w:tc>
          <w:tcPr>
            <w:tcW w:w="2268" w:type="dxa"/>
            <w:vMerge/>
            <w:vAlign w:val="center"/>
            <w:hideMark/>
          </w:tcPr>
          <w:p w14:paraId="6A6C9610"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62C5C7C4"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Administrative staff of your university</w:t>
            </w:r>
          </w:p>
        </w:tc>
        <w:tc>
          <w:tcPr>
            <w:tcW w:w="3523" w:type="dxa"/>
            <w:vMerge/>
            <w:vAlign w:val="center"/>
            <w:hideMark/>
          </w:tcPr>
          <w:p w14:paraId="588D8FE1"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r w:rsidR="0076715E" w:rsidRPr="0076715E" w14:paraId="7EEE9268" w14:textId="77777777" w:rsidTr="00F35B58">
        <w:trPr>
          <w:trHeight w:val="268"/>
        </w:trPr>
        <w:tc>
          <w:tcPr>
            <w:tcW w:w="2268" w:type="dxa"/>
            <w:vMerge/>
            <w:vAlign w:val="center"/>
            <w:hideMark/>
          </w:tcPr>
          <w:p w14:paraId="2217B33D"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0243E7DB"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Timetable of daily lectures/seminars</w:t>
            </w:r>
          </w:p>
        </w:tc>
        <w:tc>
          <w:tcPr>
            <w:tcW w:w="3523" w:type="dxa"/>
            <w:vMerge/>
            <w:vAlign w:val="center"/>
            <w:hideMark/>
          </w:tcPr>
          <w:p w14:paraId="022274FC"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r w:rsidR="0076715E" w:rsidRPr="0076715E" w14:paraId="0F2E9254" w14:textId="77777777" w:rsidTr="00F35B58">
        <w:trPr>
          <w:trHeight w:val="268"/>
        </w:trPr>
        <w:tc>
          <w:tcPr>
            <w:tcW w:w="2268" w:type="dxa"/>
            <w:vMerge/>
            <w:vAlign w:val="center"/>
            <w:hideMark/>
          </w:tcPr>
          <w:p w14:paraId="21738CB9"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68EA6B99"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Students</w:t>
            </w:r>
          </w:p>
        </w:tc>
        <w:tc>
          <w:tcPr>
            <w:tcW w:w="3523" w:type="dxa"/>
            <w:vMerge/>
            <w:vAlign w:val="center"/>
            <w:hideMark/>
          </w:tcPr>
          <w:p w14:paraId="042EB6FC"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r w:rsidR="0076715E" w:rsidRPr="0076715E" w14:paraId="08731951" w14:textId="77777777" w:rsidTr="00F35B58">
        <w:trPr>
          <w:trHeight w:val="132"/>
        </w:trPr>
        <w:tc>
          <w:tcPr>
            <w:tcW w:w="2268" w:type="dxa"/>
            <w:vMerge/>
            <w:vAlign w:val="center"/>
            <w:hideMark/>
          </w:tcPr>
          <w:p w14:paraId="08B05D83"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71001885"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Course of study</w:t>
            </w:r>
          </w:p>
        </w:tc>
        <w:tc>
          <w:tcPr>
            <w:tcW w:w="3523" w:type="dxa"/>
            <w:vMerge/>
            <w:vAlign w:val="center"/>
            <w:hideMark/>
          </w:tcPr>
          <w:p w14:paraId="2BB98D6B"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r w:rsidR="0076715E" w:rsidRPr="0076715E" w14:paraId="7E7A085A" w14:textId="77777777" w:rsidTr="00F35B58">
        <w:trPr>
          <w:trHeight w:val="363"/>
        </w:trPr>
        <w:tc>
          <w:tcPr>
            <w:tcW w:w="2268" w:type="dxa"/>
            <w:vMerge w:val="restart"/>
            <w:shd w:val="clear" w:color="auto" w:fill="auto"/>
            <w:tcMar>
              <w:top w:w="15" w:type="dxa"/>
              <w:left w:w="15" w:type="dxa"/>
              <w:bottom w:w="0" w:type="dxa"/>
              <w:right w:w="15" w:type="dxa"/>
            </w:tcMar>
            <w:hideMark/>
          </w:tcPr>
          <w:p w14:paraId="429EEAED"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How acceptable is</w:t>
            </w:r>
          </w:p>
        </w:tc>
        <w:tc>
          <w:tcPr>
            <w:tcW w:w="3995" w:type="dxa"/>
            <w:shd w:val="clear" w:color="auto" w:fill="auto"/>
            <w:tcMar>
              <w:top w:w="15" w:type="dxa"/>
              <w:left w:w="15" w:type="dxa"/>
              <w:bottom w:w="0" w:type="dxa"/>
              <w:right w:w="15" w:type="dxa"/>
            </w:tcMar>
            <w:hideMark/>
          </w:tcPr>
          <w:p w14:paraId="65A77045"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Overall exam organisation</w:t>
            </w:r>
          </w:p>
        </w:tc>
        <w:tc>
          <w:tcPr>
            <w:tcW w:w="3523" w:type="dxa"/>
            <w:vMerge w:val="restart"/>
            <w:shd w:val="clear" w:color="auto" w:fill="auto"/>
            <w:tcMar>
              <w:top w:w="15" w:type="dxa"/>
              <w:left w:w="15" w:type="dxa"/>
              <w:bottom w:w="0" w:type="dxa"/>
              <w:right w:w="15" w:type="dxa"/>
            </w:tcMar>
            <w:hideMark/>
          </w:tcPr>
          <w:p w14:paraId="638AEFAA" w14:textId="77777777" w:rsidR="0076715E" w:rsidRPr="0076715E" w:rsidRDefault="0076715E" w:rsidP="0076715E">
            <w:pPr>
              <w:spacing w:after="0" w:line="240" w:lineRule="auto"/>
              <w:ind w:hanging="15"/>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Categorized (ordinal) variable</w:t>
            </w:r>
          </w:p>
          <w:p w14:paraId="64193C79" w14:textId="77777777" w:rsidR="0076715E" w:rsidRPr="0076715E" w:rsidRDefault="0076715E" w:rsidP="0076715E">
            <w:pPr>
              <w:spacing w:after="0" w:line="240" w:lineRule="auto"/>
              <w:ind w:hanging="15"/>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1=strongly disagree</w:t>
            </w:r>
          </w:p>
          <w:p w14:paraId="3731E77E" w14:textId="77777777" w:rsidR="0076715E" w:rsidRPr="0076715E" w:rsidRDefault="0076715E" w:rsidP="0076715E">
            <w:pPr>
              <w:spacing w:after="0" w:line="240" w:lineRule="auto"/>
              <w:ind w:hanging="15"/>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2=disagree</w:t>
            </w:r>
          </w:p>
          <w:p w14:paraId="108A9814" w14:textId="77777777" w:rsidR="0076715E" w:rsidRPr="0076715E" w:rsidRDefault="0076715E" w:rsidP="0076715E">
            <w:pPr>
              <w:spacing w:after="0" w:line="240" w:lineRule="auto"/>
              <w:ind w:hanging="15"/>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3=agree</w:t>
            </w:r>
          </w:p>
          <w:p w14:paraId="2FF8FFCC" w14:textId="77777777" w:rsidR="0076715E" w:rsidRPr="0076715E" w:rsidRDefault="0076715E" w:rsidP="0076715E">
            <w:pPr>
              <w:spacing w:after="0" w:line="240" w:lineRule="auto"/>
              <w:ind w:hanging="15"/>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4=strongly agree</w:t>
            </w:r>
          </w:p>
        </w:tc>
      </w:tr>
      <w:tr w:rsidR="0076715E" w:rsidRPr="0076715E" w14:paraId="33211365" w14:textId="77777777" w:rsidTr="00F35B58">
        <w:trPr>
          <w:trHeight w:val="313"/>
        </w:trPr>
        <w:tc>
          <w:tcPr>
            <w:tcW w:w="2268" w:type="dxa"/>
            <w:vMerge/>
            <w:vAlign w:val="center"/>
            <w:hideMark/>
          </w:tcPr>
          <w:p w14:paraId="2A9F5D55"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3ECC4A70"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Didactic material</w:t>
            </w:r>
          </w:p>
        </w:tc>
        <w:tc>
          <w:tcPr>
            <w:tcW w:w="3523" w:type="dxa"/>
            <w:vMerge/>
            <w:vAlign w:val="center"/>
            <w:hideMark/>
          </w:tcPr>
          <w:p w14:paraId="3E508C3F"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r w:rsidR="0076715E" w:rsidRPr="0076715E" w14:paraId="2B20B55A" w14:textId="77777777" w:rsidTr="00F35B58">
        <w:trPr>
          <w:trHeight w:val="28"/>
        </w:trPr>
        <w:tc>
          <w:tcPr>
            <w:tcW w:w="2268" w:type="dxa"/>
            <w:vMerge/>
            <w:vAlign w:val="center"/>
            <w:hideMark/>
          </w:tcPr>
          <w:p w14:paraId="16F1E09C"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58428F1F"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Workload for the classes</w:t>
            </w:r>
          </w:p>
        </w:tc>
        <w:tc>
          <w:tcPr>
            <w:tcW w:w="3523" w:type="dxa"/>
            <w:vMerge/>
            <w:vAlign w:val="center"/>
            <w:hideMark/>
          </w:tcPr>
          <w:p w14:paraId="0C7978EC"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r w:rsidR="0076715E" w:rsidRPr="0076715E" w14:paraId="64EA2AA2" w14:textId="77777777" w:rsidTr="00F35B58">
        <w:trPr>
          <w:trHeight w:val="403"/>
        </w:trPr>
        <w:tc>
          <w:tcPr>
            <w:tcW w:w="2268" w:type="dxa"/>
            <w:vMerge w:val="restart"/>
            <w:shd w:val="clear" w:color="auto" w:fill="auto"/>
            <w:tcMar>
              <w:top w:w="15" w:type="dxa"/>
              <w:left w:w="15" w:type="dxa"/>
              <w:bottom w:w="0" w:type="dxa"/>
              <w:right w:w="15" w:type="dxa"/>
            </w:tcMar>
            <w:hideMark/>
          </w:tcPr>
          <w:p w14:paraId="20D9F957"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State two following reasons important to enrol in the university</w:t>
            </w:r>
          </w:p>
        </w:tc>
        <w:tc>
          <w:tcPr>
            <w:tcW w:w="3995" w:type="dxa"/>
            <w:shd w:val="clear" w:color="auto" w:fill="auto"/>
            <w:tcMar>
              <w:top w:w="15" w:type="dxa"/>
              <w:left w:w="15" w:type="dxa"/>
              <w:bottom w:w="0" w:type="dxa"/>
              <w:right w:w="15" w:type="dxa"/>
            </w:tcMar>
            <w:hideMark/>
          </w:tcPr>
          <w:p w14:paraId="653F488F"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Interest in the employment opportunities</w:t>
            </w:r>
          </w:p>
        </w:tc>
        <w:tc>
          <w:tcPr>
            <w:tcW w:w="3523" w:type="dxa"/>
            <w:vMerge w:val="restart"/>
            <w:shd w:val="clear" w:color="auto" w:fill="auto"/>
            <w:tcMar>
              <w:top w:w="15" w:type="dxa"/>
              <w:left w:w="15" w:type="dxa"/>
              <w:bottom w:w="0" w:type="dxa"/>
              <w:right w:w="15" w:type="dxa"/>
            </w:tcMar>
            <w:hideMark/>
          </w:tcPr>
          <w:p w14:paraId="47CF7A81" w14:textId="77777777" w:rsidR="0076715E" w:rsidRPr="0076715E" w:rsidRDefault="0076715E" w:rsidP="0076715E">
            <w:pPr>
              <w:spacing w:after="0" w:line="240" w:lineRule="auto"/>
              <w:ind w:firstLine="562"/>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Categorized (ordinal) variable</w:t>
            </w:r>
          </w:p>
          <w:p w14:paraId="7D9B778F" w14:textId="77777777" w:rsidR="0076715E" w:rsidRPr="0076715E" w:rsidRDefault="0076715E" w:rsidP="0076715E">
            <w:pPr>
              <w:spacing w:after="0" w:line="240" w:lineRule="auto"/>
              <w:ind w:left="58" w:right="58" w:hanging="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1=no, definitely</w:t>
            </w:r>
          </w:p>
          <w:p w14:paraId="50469AD7" w14:textId="77777777" w:rsidR="0076715E" w:rsidRPr="0076715E" w:rsidRDefault="0076715E" w:rsidP="0076715E">
            <w:pPr>
              <w:spacing w:after="0" w:line="240" w:lineRule="auto"/>
              <w:ind w:left="58" w:right="58" w:hanging="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2= more no than yes</w:t>
            </w:r>
          </w:p>
          <w:p w14:paraId="3FAF078B" w14:textId="77777777" w:rsidR="0076715E" w:rsidRPr="0076715E" w:rsidRDefault="0076715E" w:rsidP="0076715E">
            <w:pPr>
              <w:spacing w:after="0" w:line="240" w:lineRule="auto"/>
              <w:ind w:left="58" w:right="58" w:hanging="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3= more yes than no</w:t>
            </w:r>
          </w:p>
          <w:p w14:paraId="38C12661" w14:textId="77777777" w:rsidR="0076715E" w:rsidRPr="0076715E" w:rsidRDefault="0076715E" w:rsidP="0076715E">
            <w:pPr>
              <w:spacing w:after="0" w:line="240" w:lineRule="auto"/>
              <w:ind w:hanging="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4= yes, definitely</w:t>
            </w:r>
          </w:p>
        </w:tc>
      </w:tr>
      <w:tr w:rsidR="0076715E" w:rsidRPr="0076715E" w14:paraId="0FBD1272" w14:textId="77777777" w:rsidTr="00F35B58">
        <w:trPr>
          <w:trHeight w:val="946"/>
        </w:trPr>
        <w:tc>
          <w:tcPr>
            <w:tcW w:w="2268" w:type="dxa"/>
            <w:vMerge/>
            <w:vAlign w:val="center"/>
            <w:hideMark/>
          </w:tcPr>
          <w:p w14:paraId="06726910"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3995" w:type="dxa"/>
            <w:shd w:val="clear" w:color="auto" w:fill="auto"/>
            <w:tcMar>
              <w:top w:w="15" w:type="dxa"/>
              <w:left w:w="15" w:type="dxa"/>
              <w:bottom w:w="0" w:type="dxa"/>
              <w:right w:w="15" w:type="dxa"/>
            </w:tcMar>
            <w:hideMark/>
          </w:tcPr>
          <w:p w14:paraId="6E3546FA" w14:textId="77777777" w:rsidR="0076715E" w:rsidRPr="0076715E" w:rsidRDefault="0076715E" w:rsidP="0076715E">
            <w:pPr>
              <w:spacing w:after="0" w:line="240" w:lineRule="auto"/>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Interest in the subjects</w:t>
            </w:r>
          </w:p>
        </w:tc>
        <w:tc>
          <w:tcPr>
            <w:tcW w:w="3523" w:type="dxa"/>
            <w:vMerge/>
            <w:vAlign w:val="center"/>
            <w:hideMark/>
          </w:tcPr>
          <w:p w14:paraId="0CF0DF8E"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r>
    </w:tbl>
    <w:p w14:paraId="63795A4E" w14:textId="77777777" w:rsidR="0076715E" w:rsidRPr="0076715E" w:rsidRDefault="0076715E" w:rsidP="0076715E">
      <w:pPr>
        <w:shd w:val="clear" w:color="auto" w:fill="FFFFFF"/>
        <w:spacing w:after="100" w:afterAutospacing="1" w:line="276" w:lineRule="auto"/>
        <w:jc w:val="both"/>
        <w:rPr>
          <w:rFonts w:ascii="Times New Roman" w:eastAsia="Times New Roman" w:hAnsi="Times New Roman" w:cs="Times New Roman"/>
          <w:i/>
          <w:iCs/>
          <w:color w:val="222222"/>
          <w:sz w:val="20"/>
          <w:szCs w:val="20"/>
          <w:lang w:val="en-GB" w:eastAsia="sq-AL"/>
        </w:rPr>
      </w:pPr>
      <w:r w:rsidRPr="0076715E">
        <w:rPr>
          <w:rFonts w:ascii="Times New Roman" w:eastAsia="Times New Roman" w:hAnsi="Times New Roman" w:cs="Times New Roman"/>
          <w:i/>
          <w:iCs/>
          <w:color w:val="222222"/>
          <w:sz w:val="20"/>
          <w:szCs w:val="20"/>
          <w:lang w:val="en-GB" w:eastAsia="sq-AL"/>
        </w:rPr>
        <w:t>Source: Authors own elaboration</w:t>
      </w:r>
    </w:p>
    <w:p w14:paraId="418A59B2" w14:textId="77777777" w:rsidR="0076715E" w:rsidRPr="00626499" w:rsidRDefault="0076715E" w:rsidP="0076715E">
      <w:pPr>
        <w:shd w:val="clear" w:color="auto" w:fill="FFFFFF"/>
        <w:spacing w:after="100" w:afterAutospacing="1" w:line="276" w:lineRule="auto"/>
        <w:jc w:val="both"/>
        <w:rPr>
          <w:rFonts w:ascii="Times New Roman" w:eastAsia="Times New Roman" w:hAnsi="Times New Roman" w:cs="Times New Roman"/>
          <w:b/>
          <w:bCs/>
          <w:sz w:val="24"/>
          <w:szCs w:val="24"/>
          <w:lang w:val="en-GB" w:eastAsia="sq-AL"/>
        </w:rPr>
      </w:pPr>
      <w:r w:rsidRPr="00626499">
        <w:rPr>
          <w:rFonts w:ascii="Times New Roman" w:eastAsia="Times New Roman" w:hAnsi="Times New Roman" w:cs="Times New Roman"/>
          <w:b/>
          <w:bCs/>
          <w:sz w:val="24"/>
          <w:szCs w:val="24"/>
          <w:lang w:val="en-GB" w:eastAsia="sq-AL"/>
        </w:rPr>
        <w:t xml:space="preserve">Analyses </w:t>
      </w:r>
    </w:p>
    <w:p w14:paraId="739FE910" w14:textId="2046257C" w:rsidR="0076715E" w:rsidRPr="00C603A7" w:rsidRDefault="0076715E" w:rsidP="0076715E">
      <w:pPr>
        <w:shd w:val="clear" w:color="auto" w:fill="FFFFFF"/>
        <w:spacing w:before="120" w:after="12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i/>
          <w:iCs/>
          <w:color w:val="222222"/>
          <w:sz w:val="24"/>
          <w:szCs w:val="24"/>
          <w:lang w:val="en-GB" w:eastAsia="sq-AL"/>
        </w:rPr>
        <w:t xml:space="preserve">The study uses both descriptive and regression analyses. In order to </w:t>
      </w:r>
      <w:r w:rsidRPr="0076715E">
        <w:rPr>
          <w:rFonts w:ascii="Times New Roman" w:eastAsia="Times New Roman" w:hAnsi="Times New Roman" w:cs="Times New Roman"/>
          <w:color w:val="222222"/>
          <w:sz w:val="24"/>
          <w:szCs w:val="24"/>
          <w:lang w:val="en-GB" w:eastAsia="sq-AL"/>
        </w:rPr>
        <w:t xml:space="preserve">explore data distribution </w:t>
      </w:r>
      <w:r w:rsidRPr="0076715E">
        <w:rPr>
          <w:rFonts w:ascii="Times New Roman" w:eastAsia="Times New Roman" w:hAnsi="Times New Roman" w:cs="Times New Roman"/>
          <w:i/>
          <w:iCs/>
          <w:color w:val="222222"/>
          <w:sz w:val="24"/>
          <w:szCs w:val="24"/>
          <w:lang w:val="en-GB" w:eastAsia="sq-AL"/>
        </w:rPr>
        <w:t>d</w:t>
      </w:r>
      <w:r w:rsidRPr="0076715E">
        <w:rPr>
          <w:rFonts w:ascii="Times New Roman" w:eastAsia="Times New Roman" w:hAnsi="Times New Roman" w:cs="Times New Roman"/>
          <w:color w:val="222222"/>
          <w:sz w:val="24"/>
          <w:szCs w:val="24"/>
          <w:lang w:val="en-GB" w:eastAsia="sq-AL"/>
        </w:rPr>
        <w:t>escriptive statistics were used to analyse the data as a start to explore data distribution. Linear regression analysis was used to study the influence of factors on student performance. This approach is used to model the relationship between two variables by fitting a linear equation to observed data. SPSS 19 software was used to carry the data analysis.</w:t>
      </w:r>
    </w:p>
    <w:p w14:paraId="3E18CC68"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color w:val="222222"/>
          <w:sz w:val="24"/>
          <w:szCs w:val="24"/>
          <w:lang w:val="en-GB" w:eastAsia="sq-AL"/>
        </w:rPr>
      </w:pPr>
    </w:p>
    <w:p w14:paraId="58BCFE20" w14:textId="343997FA" w:rsidR="0076715E" w:rsidRPr="00C603A7" w:rsidRDefault="0076715E" w:rsidP="0076715E">
      <w:pPr>
        <w:pStyle w:val="ListParagraph"/>
        <w:numPr>
          <w:ilvl w:val="0"/>
          <w:numId w:val="4"/>
        </w:numPr>
        <w:shd w:val="clear" w:color="auto" w:fill="FFFFFF"/>
        <w:spacing w:before="120" w:after="120" w:line="276" w:lineRule="auto"/>
        <w:jc w:val="both"/>
        <w:rPr>
          <w:rFonts w:ascii="Times New Roman" w:hAnsi="Times New Roman" w:cs="Times New Roman"/>
          <w:b/>
          <w:color w:val="222222"/>
          <w:sz w:val="28"/>
          <w:szCs w:val="28"/>
          <w:lang w:eastAsia="sq-AL"/>
        </w:rPr>
      </w:pPr>
      <w:r w:rsidRPr="00C603A7">
        <w:rPr>
          <w:rFonts w:ascii="Times New Roman" w:hAnsi="Times New Roman" w:cs="Times New Roman"/>
          <w:b/>
          <w:color w:val="222222"/>
          <w:sz w:val="28"/>
          <w:szCs w:val="28"/>
          <w:lang w:eastAsia="sq-AL"/>
        </w:rPr>
        <w:t>Results</w:t>
      </w:r>
    </w:p>
    <w:p w14:paraId="656E0071" w14:textId="0A5C5784"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bCs/>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lastRenderedPageBreak/>
        <w:t xml:space="preserve">From GRADUA data for the academic year 2019-2020, the percentage of AUT students who have not worked at all during their studies either in seasonal work, or part-time, or full-time for the academic year 2019-2020 resulted </w:t>
      </w:r>
      <w:r w:rsidR="008C093D">
        <w:rPr>
          <w:rFonts w:ascii="Times New Roman" w:eastAsia="Times New Roman" w:hAnsi="Times New Roman" w:cs="Times New Roman"/>
          <w:bCs/>
          <w:color w:val="222222"/>
          <w:sz w:val="24"/>
          <w:szCs w:val="24"/>
          <w:lang w:val="en-GB" w:eastAsia="sq-AL"/>
        </w:rPr>
        <w:t xml:space="preserve">at </w:t>
      </w:r>
      <w:r w:rsidRPr="0076715E">
        <w:rPr>
          <w:rFonts w:ascii="Times New Roman" w:eastAsia="Times New Roman" w:hAnsi="Times New Roman" w:cs="Times New Roman"/>
          <w:bCs/>
          <w:color w:val="222222"/>
          <w:sz w:val="24"/>
          <w:szCs w:val="24"/>
          <w:lang w:val="en-GB" w:eastAsia="sq-AL"/>
        </w:rPr>
        <w:t>34% while for 2020-2021 this percentage was 23%.</w:t>
      </w:r>
    </w:p>
    <w:p w14:paraId="4813E1B1"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bCs/>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The following three variables were grouped into three factors which we named F1-evaluation of the study program, F2-exams and study, F3-motivation. The cumulative percentage of variation that these three factors explained resulted in 63.891%. The Kaiser–Meyer–Olkin (KMO) measurement showed the sampling adequacy as 0,922 which was greater than 0.70, signifying that the current data was suitable for principal component analysis; The results of the tests, namely Chi-Square=11531.158; sig &lt;0.000. Cronbach’s Alpha=0.892&gt;0.8 are plausible arguments that the questionnaire is reliable.</w:t>
      </w:r>
    </w:p>
    <w:p w14:paraId="3DC619B2" w14:textId="77777777" w:rsidR="0076715E" w:rsidRPr="0076715E" w:rsidRDefault="0076715E" w:rsidP="0076715E">
      <w:pPr>
        <w:shd w:val="clear" w:color="auto" w:fill="FFFFFF"/>
        <w:spacing w:beforeAutospacing="1" w:after="0" w:line="276" w:lineRule="auto"/>
        <w:jc w:val="both"/>
        <w:rPr>
          <w:rFonts w:ascii="Times New Roman" w:eastAsia="Times New Roman" w:hAnsi="Times New Roman" w:cs="Times New Roman"/>
          <w:bCs/>
          <w:color w:val="222222"/>
          <w:sz w:val="24"/>
          <w:szCs w:val="24"/>
          <w:lang w:val="en-GB" w:eastAsia="sq-AL"/>
        </w:rPr>
      </w:pPr>
    </w:p>
    <w:tbl>
      <w:tblPr>
        <w:tblW w:w="9972" w:type="dxa"/>
        <w:tblInd w:w="20" w:type="dxa"/>
        <w:tblCellMar>
          <w:left w:w="0" w:type="dxa"/>
          <w:right w:w="0" w:type="dxa"/>
        </w:tblCellMar>
        <w:tblLook w:val="0600" w:firstRow="0" w:lastRow="0" w:firstColumn="0" w:lastColumn="0" w:noHBand="1" w:noVBand="1"/>
      </w:tblPr>
      <w:tblGrid>
        <w:gridCol w:w="383"/>
        <w:gridCol w:w="4124"/>
        <w:gridCol w:w="2412"/>
        <w:gridCol w:w="1818"/>
        <w:gridCol w:w="1235"/>
      </w:tblGrid>
      <w:tr w:rsidR="0076715E" w:rsidRPr="0076715E" w14:paraId="6EC5840C" w14:textId="77777777" w:rsidTr="00F35B58">
        <w:trPr>
          <w:trHeight w:val="379"/>
        </w:trPr>
        <w:tc>
          <w:tcPr>
            <w:tcW w:w="0" w:type="auto"/>
            <w:tcBorders>
              <w:top w:val="nil"/>
              <w:left w:val="nil"/>
              <w:bottom w:val="single" w:sz="8" w:space="0" w:color="000000"/>
              <w:right w:val="nil"/>
            </w:tcBorders>
          </w:tcPr>
          <w:p w14:paraId="73D485B2" w14:textId="77777777" w:rsidR="0076715E" w:rsidRPr="0076715E" w:rsidRDefault="0076715E" w:rsidP="0076715E">
            <w:pPr>
              <w:spacing w:after="0" w:line="320" w:lineRule="exact"/>
              <w:ind w:left="58" w:right="58"/>
              <w:jc w:val="center"/>
              <w:rPr>
                <w:rFonts w:ascii="Times New Roman" w:eastAsia="Calibri" w:hAnsi="Times New Roman" w:cs="Times New Roman"/>
                <w:b/>
                <w:bCs/>
                <w:color w:val="010205"/>
                <w:kern w:val="24"/>
                <w:sz w:val="24"/>
                <w:szCs w:val="24"/>
                <w:lang w:val="en-GB"/>
              </w:rPr>
            </w:pPr>
          </w:p>
        </w:tc>
        <w:tc>
          <w:tcPr>
            <w:tcW w:w="0" w:type="auto"/>
            <w:gridSpan w:val="4"/>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B19FB2B" w14:textId="77777777" w:rsidR="0076715E" w:rsidRPr="0076715E" w:rsidRDefault="0076715E" w:rsidP="0076715E">
            <w:pPr>
              <w:keepNext/>
              <w:spacing w:after="200" w:line="240" w:lineRule="auto"/>
              <w:rPr>
                <w:rFonts w:ascii="Times New Roman" w:eastAsia="Calibri" w:hAnsi="Times New Roman" w:cs="Times New Roman"/>
                <w:color w:val="44546A"/>
                <w:sz w:val="24"/>
                <w:szCs w:val="24"/>
                <w:lang w:val="en-GB"/>
              </w:rPr>
            </w:pPr>
            <w:r w:rsidRPr="0076715E">
              <w:rPr>
                <w:rFonts w:ascii="Times New Roman" w:eastAsia="Calibri" w:hAnsi="Times New Roman" w:cs="Times New Roman"/>
                <w:sz w:val="24"/>
                <w:szCs w:val="24"/>
                <w:lang w:val="en-GB"/>
              </w:rPr>
              <w:t xml:space="preserve">Table </w:t>
            </w:r>
            <w:r w:rsidRPr="0076715E">
              <w:rPr>
                <w:rFonts w:ascii="Times New Roman" w:eastAsia="Calibri" w:hAnsi="Times New Roman" w:cs="Times New Roman"/>
                <w:sz w:val="24"/>
                <w:szCs w:val="24"/>
                <w:lang w:val="en-GB"/>
              </w:rPr>
              <w:fldChar w:fldCharType="begin"/>
            </w:r>
            <w:r w:rsidRPr="0076715E">
              <w:rPr>
                <w:rFonts w:ascii="Times New Roman" w:eastAsia="Calibri" w:hAnsi="Times New Roman" w:cs="Times New Roman"/>
                <w:sz w:val="24"/>
                <w:szCs w:val="24"/>
                <w:lang w:val="en-GB"/>
              </w:rPr>
              <w:instrText xml:space="preserve"> SEQ Table \* ARABIC </w:instrText>
            </w:r>
            <w:r w:rsidRPr="0076715E">
              <w:rPr>
                <w:rFonts w:ascii="Times New Roman" w:eastAsia="Calibri" w:hAnsi="Times New Roman" w:cs="Times New Roman"/>
                <w:sz w:val="24"/>
                <w:szCs w:val="24"/>
                <w:lang w:val="en-GB"/>
              </w:rPr>
              <w:fldChar w:fldCharType="separate"/>
            </w:r>
            <w:r w:rsidRPr="0076715E">
              <w:rPr>
                <w:rFonts w:ascii="Times New Roman" w:eastAsia="Calibri" w:hAnsi="Times New Roman" w:cs="Times New Roman"/>
                <w:noProof/>
                <w:sz w:val="24"/>
                <w:szCs w:val="24"/>
                <w:lang w:val="en-GB"/>
              </w:rPr>
              <w:t>3</w:t>
            </w:r>
            <w:r w:rsidRPr="0076715E">
              <w:rPr>
                <w:rFonts w:ascii="Times New Roman" w:eastAsia="Calibri" w:hAnsi="Times New Roman" w:cs="Times New Roman"/>
                <w:sz w:val="24"/>
                <w:szCs w:val="24"/>
                <w:lang w:val="en-GB"/>
              </w:rPr>
              <w:fldChar w:fldCharType="end"/>
            </w:r>
            <w:r w:rsidRPr="0076715E">
              <w:rPr>
                <w:rFonts w:ascii="Times New Roman" w:eastAsia="Calibri" w:hAnsi="Times New Roman" w:cs="Times New Roman"/>
                <w:sz w:val="24"/>
                <w:szCs w:val="24"/>
                <w:lang w:val="en-GB"/>
              </w:rPr>
              <w:t xml:space="preserve">: Results of the exploratory factor analysis </w:t>
            </w:r>
          </w:p>
        </w:tc>
      </w:tr>
      <w:tr w:rsidR="0076715E" w:rsidRPr="0076715E" w14:paraId="6AD8C6FD" w14:textId="77777777" w:rsidTr="00F35B58">
        <w:trPr>
          <w:trHeight w:val="541"/>
        </w:trPr>
        <w:tc>
          <w:tcPr>
            <w:tcW w:w="0" w:type="auto"/>
            <w:tcBorders>
              <w:top w:val="single" w:sz="8" w:space="0" w:color="000000"/>
              <w:left w:val="single" w:sz="8" w:space="0" w:color="000000"/>
              <w:bottom w:val="single" w:sz="8" w:space="0" w:color="152935"/>
              <w:right w:val="single" w:sz="8" w:space="0" w:color="000000"/>
            </w:tcBorders>
          </w:tcPr>
          <w:p w14:paraId="2A67C1FD"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r w:rsidRPr="0076715E">
              <w:rPr>
                <w:rFonts w:ascii="Times New Roman" w:eastAsia="Times New Roman" w:hAnsi="Times New Roman" w:cs="Times New Roman"/>
                <w:sz w:val="24"/>
                <w:szCs w:val="24"/>
                <w:lang w:val="en-GB"/>
              </w:rPr>
              <w:t>Nr</w:t>
            </w:r>
          </w:p>
        </w:tc>
        <w:tc>
          <w:tcPr>
            <w:tcW w:w="0" w:type="auto"/>
            <w:tcBorders>
              <w:top w:val="single" w:sz="8" w:space="0" w:color="000000"/>
              <w:left w:val="single" w:sz="8" w:space="0" w:color="000000"/>
              <w:bottom w:val="single" w:sz="8" w:space="0" w:color="152935"/>
              <w:right w:val="single" w:sz="8" w:space="0" w:color="000000"/>
            </w:tcBorders>
            <w:shd w:val="clear" w:color="auto" w:fill="auto"/>
            <w:vAlign w:val="center"/>
            <w:hideMark/>
          </w:tcPr>
          <w:p w14:paraId="6989C3AD" w14:textId="77777777" w:rsidR="0076715E" w:rsidRPr="0076715E" w:rsidRDefault="0076715E" w:rsidP="0076715E">
            <w:pPr>
              <w:spacing w:after="0" w:line="240" w:lineRule="auto"/>
              <w:rPr>
                <w:rFonts w:ascii="Times New Roman" w:eastAsia="Times New Roman" w:hAnsi="Times New Roman" w:cs="Times New Roman"/>
                <w:sz w:val="24"/>
                <w:szCs w:val="24"/>
                <w:lang w:val="en-GB"/>
              </w:rPr>
            </w:pPr>
          </w:p>
        </w:tc>
        <w:tc>
          <w:tcPr>
            <w:tcW w:w="0" w:type="auto"/>
            <w:tcBorders>
              <w:top w:val="single" w:sz="8" w:space="0" w:color="000000"/>
              <w:left w:val="single" w:sz="8" w:space="0" w:color="000000"/>
              <w:bottom w:val="single" w:sz="8" w:space="0" w:color="152935"/>
              <w:right w:val="single" w:sz="8" w:space="0" w:color="000000"/>
            </w:tcBorders>
            <w:shd w:val="clear" w:color="auto" w:fill="auto"/>
            <w:tcMar>
              <w:top w:w="15" w:type="dxa"/>
              <w:left w:w="15" w:type="dxa"/>
              <w:bottom w:w="0" w:type="dxa"/>
              <w:right w:w="15" w:type="dxa"/>
            </w:tcMar>
            <w:vAlign w:val="bottom"/>
            <w:hideMark/>
          </w:tcPr>
          <w:p w14:paraId="6524A999" w14:textId="77777777" w:rsidR="0076715E" w:rsidRPr="0076715E" w:rsidRDefault="0076715E" w:rsidP="0076715E">
            <w:pPr>
              <w:spacing w:after="0" w:line="256" w:lineRule="auto"/>
              <w:jc w:val="center"/>
              <w:rPr>
                <w:rFonts w:ascii="Times New Roman" w:eastAsia="Calibri" w:hAnsi="Times New Roman" w:cs="Times New Roman"/>
                <w:kern w:val="24"/>
                <w:sz w:val="24"/>
                <w:szCs w:val="24"/>
                <w:lang w:val="en-GB"/>
              </w:rPr>
            </w:pPr>
            <w:r w:rsidRPr="0076715E">
              <w:rPr>
                <w:rFonts w:ascii="Times New Roman" w:eastAsia="Calibri" w:hAnsi="Times New Roman" w:cs="Times New Roman"/>
                <w:kern w:val="24"/>
                <w:sz w:val="24"/>
                <w:szCs w:val="24"/>
                <w:lang w:val="en-GB"/>
              </w:rPr>
              <w:t xml:space="preserve">Factor 1 </w:t>
            </w:r>
          </w:p>
          <w:p w14:paraId="4A8B460C" w14:textId="77777777" w:rsidR="0076715E" w:rsidRPr="0076715E" w:rsidRDefault="0076715E" w:rsidP="0076715E">
            <w:pPr>
              <w:spacing w:after="0" w:line="256" w:lineRule="auto"/>
              <w:jc w:val="center"/>
              <w:rPr>
                <w:rFonts w:ascii="Times New Roman" w:eastAsia="Times New Roman" w:hAnsi="Times New Roman" w:cs="Times New Roman"/>
                <w:sz w:val="24"/>
                <w:szCs w:val="24"/>
                <w:lang w:val="en-GB"/>
              </w:rPr>
            </w:pPr>
            <w:r w:rsidRPr="0076715E">
              <w:rPr>
                <w:rFonts w:ascii="Times New Roman" w:eastAsia="Calibri" w:hAnsi="Times New Roman" w:cs="Times New Roman"/>
                <w:kern w:val="24"/>
                <w:sz w:val="24"/>
                <w:szCs w:val="24"/>
                <w:lang w:val="en-GB"/>
              </w:rPr>
              <w:t>Evaluation of the course</w:t>
            </w:r>
          </w:p>
        </w:tc>
        <w:tc>
          <w:tcPr>
            <w:tcW w:w="0" w:type="auto"/>
            <w:tcBorders>
              <w:top w:val="single" w:sz="8" w:space="0" w:color="000000"/>
              <w:left w:val="single" w:sz="8" w:space="0" w:color="000000"/>
              <w:bottom w:val="single" w:sz="8" w:space="0" w:color="152935"/>
              <w:right w:val="single" w:sz="8" w:space="0" w:color="000000"/>
            </w:tcBorders>
            <w:shd w:val="clear" w:color="auto" w:fill="auto"/>
            <w:tcMar>
              <w:top w:w="15" w:type="dxa"/>
              <w:left w:w="15" w:type="dxa"/>
              <w:bottom w:w="0" w:type="dxa"/>
              <w:right w:w="15" w:type="dxa"/>
            </w:tcMar>
            <w:vAlign w:val="bottom"/>
            <w:hideMark/>
          </w:tcPr>
          <w:p w14:paraId="5C0B10AD" w14:textId="77777777" w:rsidR="0076715E" w:rsidRPr="0076715E" w:rsidRDefault="0076715E" w:rsidP="0076715E">
            <w:pPr>
              <w:spacing w:after="0" w:line="320" w:lineRule="exact"/>
              <w:ind w:left="58" w:right="58"/>
              <w:jc w:val="center"/>
              <w:rPr>
                <w:rFonts w:ascii="Times New Roman" w:eastAsia="Calibri" w:hAnsi="Times New Roman" w:cs="Times New Roman"/>
                <w:kern w:val="24"/>
                <w:sz w:val="24"/>
                <w:szCs w:val="24"/>
                <w:lang w:val="en-GB"/>
              </w:rPr>
            </w:pPr>
            <w:r w:rsidRPr="0076715E">
              <w:rPr>
                <w:rFonts w:ascii="Times New Roman" w:eastAsia="Calibri" w:hAnsi="Times New Roman" w:cs="Times New Roman"/>
                <w:kern w:val="24"/>
                <w:sz w:val="24"/>
                <w:szCs w:val="24"/>
                <w:lang w:val="en-GB"/>
              </w:rPr>
              <w:t xml:space="preserve">Factor 2 </w:t>
            </w:r>
          </w:p>
          <w:p w14:paraId="2F8BA047" w14:textId="77777777" w:rsidR="0076715E" w:rsidRPr="0076715E" w:rsidRDefault="0076715E" w:rsidP="0076715E">
            <w:pPr>
              <w:spacing w:after="0" w:line="320" w:lineRule="exact"/>
              <w:ind w:left="58" w:right="58"/>
              <w:jc w:val="center"/>
              <w:rPr>
                <w:rFonts w:ascii="Times New Roman" w:eastAsia="Times New Roman" w:hAnsi="Times New Roman" w:cs="Times New Roman"/>
                <w:sz w:val="24"/>
                <w:szCs w:val="24"/>
                <w:lang w:val="en-GB"/>
              </w:rPr>
            </w:pPr>
            <w:r w:rsidRPr="0076715E">
              <w:rPr>
                <w:rFonts w:ascii="Times New Roman" w:eastAsia="Calibri" w:hAnsi="Times New Roman" w:cs="Times New Roman"/>
                <w:kern w:val="24"/>
                <w:sz w:val="24"/>
                <w:szCs w:val="24"/>
                <w:lang w:val="en-GB"/>
              </w:rPr>
              <w:t>Exams and study</w:t>
            </w:r>
          </w:p>
        </w:tc>
        <w:tc>
          <w:tcPr>
            <w:tcW w:w="0" w:type="auto"/>
            <w:tcBorders>
              <w:top w:val="single" w:sz="8" w:space="0" w:color="000000"/>
              <w:left w:val="single" w:sz="8" w:space="0" w:color="000000"/>
              <w:bottom w:val="single" w:sz="8" w:space="0" w:color="152935"/>
              <w:right w:val="single" w:sz="8" w:space="0" w:color="000000"/>
            </w:tcBorders>
            <w:shd w:val="clear" w:color="auto" w:fill="auto"/>
            <w:tcMar>
              <w:top w:w="15" w:type="dxa"/>
              <w:left w:w="15" w:type="dxa"/>
              <w:bottom w:w="0" w:type="dxa"/>
              <w:right w:w="15" w:type="dxa"/>
            </w:tcMar>
            <w:vAlign w:val="bottom"/>
            <w:hideMark/>
          </w:tcPr>
          <w:p w14:paraId="1A909F0F" w14:textId="77777777" w:rsidR="0076715E" w:rsidRPr="0076715E" w:rsidRDefault="0076715E" w:rsidP="0076715E">
            <w:pPr>
              <w:spacing w:after="0" w:line="320" w:lineRule="exact"/>
              <w:ind w:left="58" w:right="58"/>
              <w:jc w:val="center"/>
              <w:rPr>
                <w:rFonts w:ascii="Times New Roman" w:eastAsia="Calibri" w:hAnsi="Times New Roman" w:cs="Times New Roman"/>
                <w:kern w:val="24"/>
                <w:sz w:val="24"/>
                <w:szCs w:val="24"/>
                <w:lang w:val="en-GB"/>
              </w:rPr>
            </w:pPr>
            <w:r w:rsidRPr="0076715E">
              <w:rPr>
                <w:rFonts w:ascii="Times New Roman" w:eastAsia="Calibri" w:hAnsi="Times New Roman" w:cs="Times New Roman"/>
                <w:kern w:val="24"/>
                <w:sz w:val="24"/>
                <w:szCs w:val="24"/>
                <w:lang w:val="en-GB"/>
              </w:rPr>
              <w:t>Factor 3</w:t>
            </w:r>
          </w:p>
          <w:p w14:paraId="3932BF11" w14:textId="77777777" w:rsidR="0076715E" w:rsidRPr="0076715E" w:rsidRDefault="0076715E" w:rsidP="0076715E">
            <w:pPr>
              <w:spacing w:after="0" w:line="320" w:lineRule="exact"/>
              <w:ind w:left="58" w:right="58"/>
              <w:jc w:val="center"/>
              <w:rPr>
                <w:rFonts w:ascii="Times New Roman" w:eastAsia="Times New Roman" w:hAnsi="Times New Roman" w:cs="Times New Roman"/>
                <w:sz w:val="24"/>
                <w:szCs w:val="24"/>
                <w:lang w:val="en-GB"/>
              </w:rPr>
            </w:pPr>
            <w:r w:rsidRPr="0076715E">
              <w:rPr>
                <w:rFonts w:ascii="Times New Roman" w:eastAsia="Calibri" w:hAnsi="Times New Roman" w:cs="Times New Roman"/>
                <w:kern w:val="24"/>
                <w:sz w:val="24"/>
                <w:szCs w:val="24"/>
                <w:lang w:val="en-GB"/>
              </w:rPr>
              <w:t>Motivation</w:t>
            </w:r>
          </w:p>
        </w:tc>
      </w:tr>
      <w:tr w:rsidR="0076715E" w:rsidRPr="0076715E" w14:paraId="68D67CD5" w14:textId="77777777" w:rsidTr="00F35B58">
        <w:trPr>
          <w:trHeight w:val="301"/>
        </w:trPr>
        <w:tc>
          <w:tcPr>
            <w:tcW w:w="0" w:type="auto"/>
            <w:tcBorders>
              <w:top w:val="single" w:sz="8" w:space="0" w:color="152935"/>
              <w:left w:val="single" w:sz="8" w:space="0" w:color="000000"/>
              <w:bottom w:val="single" w:sz="8" w:space="0" w:color="AEAEAE"/>
              <w:right w:val="single" w:sz="8" w:space="0" w:color="000000"/>
            </w:tcBorders>
          </w:tcPr>
          <w:p w14:paraId="1956D39F"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1</w:t>
            </w:r>
          </w:p>
        </w:tc>
        <w:tc>
          <w:tcPr>
            <w:tcW w:w="0" w:type="auto"/>
            <w:tcBorders>
              <w:top w:val="single" w:sz="8" w:space="0" w:color="152935"/>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33012A0B"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Teacher’s collaborators</w:t>
            </w:r>
          </w:p>
        </w:tc>
        <w:tc>
          <w:tcPr>
            <w:tcW w:w="0" w:type="auto"/>
            <w:tcBorders>
              <w:top w:val="single" w:sz="8" w:space="0" w:color="152935"/>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4EB6B313"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,853</w:t>
            </w:r>
          </w:p>
        </w:tc>
        <w:tc>
          <w:tcPr>
            <w:tcW w:w="0" w:type="auto"/>
            <w:tcBorders>
              <w:top w:val="single" w:sz="8" w:space="0" w:color="152935"/>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5200B9E4"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152935"/>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00E83F71"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592067F8" w14:textId="77777777" w:rsidTr="00F35B58">
        <w:trPr>
          <w:trHeight w:val="251"/>
        </w:trPr>
        <w:tc>
          <w:tcPr>
            <w:tcW w:w="0" w:type="auto"/>
            <w:tcBorders>
              <w:top w:val="single" w:sz="8" w:space="0" w:color="AEAEAE"/>
              <w:left w:val="single" w:sz="8" w:space="0" w:color="000000"/>
              <w:bottom w:val="single" w:sz="8" w:space="0" w:color="AEAEAE"/>
              <w:right w:val="single" w:sz="8" w:space="0" w:color="000000"/>
            </w:tcBorders>
          </w:tcPr>
          <w:p w14:paraId="077FECB9"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2</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51A91F04"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Teachers in general</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6017C3ED"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,845</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0AC45562"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290C54DD"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6CAB3DD2" w14:textId="77777777" w:rsidTr="00F35B58">
        <w:trPr>
          <w:trHeight w:val="301"/>
        </w:trPr>
        <w:tc>
          <w:tcPr>
            <w:tcW w:w="0" w:type="auto"/>
            <w:tcBorders>
              <w:top w:val="single" w:sz="8" w:space="0" w:color="AEAEAE"/>
              <w:left w:val="single" w:sz="8" w:space="0" w:color="000000"/>
              <w:bottom w:val="single" w:sz="8" w:space="0" w:color="AEAEAE"/>
              <w:right w:val="single" w:sz="8" w:space="0" w:color="000000"/>
            </w:tcBorders>
          </w:tcPr>
          <w:p w14:paraId="4B416C16"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3</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27DC5D6A"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Teachers’ availability</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4BF861AE"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,843</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12C83691"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25E210CD"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263D377B" w14:textId="77777777" w:rsidTr="00F35B58">
        <w:trPr>
          <w:trHeight w:val="301"/>
        </w:trPr>
        <w:tc>
          <w:tcPr>
            <w:tcW w:w="0" w:type="auto"/>
            <w:tcBorders>
              <w:top w:val="single" w:sz="8" w:space="0" w:color="AEAEAE"/>
              <w:left w:val="single" w:sz="8" w:space="0" w:color="000000"/>
              <w:bottom w:val="single" w:sz="8" w:space="0" w:color="AEAEAE"/>
              <w:right w:val="single" w:sz="8" w:space="0" w:color="000000"/>
            </w:tcBorders>
          </w:tcPr>
          <w:p w14:paraId="006F87B8"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4</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51B65D02"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Teaching skills of teachers</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5C1AF449"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,835</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111A82AB"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41138E0C"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491B0F7F" w14:textId="77777777" w:rsidTr="00F35B58">
        <w:trPr>
          <w:trHeight w:val="251"/>
        </w:trPr>
        <w:tc>
          <w:tcPr>
            <w:tcW w:w="0" w:type="auto"/>
            <w:tcBorders>
              <w:top w:val="single" w:sz="8" w:space="0" w:color="AEAEAE"/>
              <w:left w:val="single" w:sz="8" w:space="0" w:color="000000"/>
              <w:bottom w:val="single" w:sz="8" w:space="0" w:color="AEAEAE"/>
              <w:right w:val="single" w:sz="8" w:space="0" w:color="000000"/>
            </w:tcBorders>
          </w:tcPr>
          <w:p w14:paraId="15862A5A"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5</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571368CE"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Administrative staff of your university</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1EA883D3"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,781</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41D5F917"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48C1AD1D"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23102CDC" w14:textId="77777777" w:rsidTr="00F35B58">
        <w:trPr>
          <w:trHeight w:val="251"/>
        </w:trPr>
        <w:tc>
          <w:tcPr>
            <w:tcW w:w="0" w:type="auto"/>
            <w:tcBorders>
              <w:top w:val="single" w:sz="8" w:space="0" w:color="AEAEAE"/>
              <w:left w:val="single" w:sz="8" w:space="0" w:color="000000"/>
              <w:bottom w:val="single" w:sz="8" w:space="0" w:color="AEAEAE"/>
              <w:right w:val="single" w:sz="8" w:space="0" w:color="000000"/>
            </w:tcBorders>
          </w:tcPr>
          <w:p w14:paraId="2E2E4C6F"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6</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41371B3C"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Timetable of daily lectures/seminars</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7A1CAFA0"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,660</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398A7D5E"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10F85CE3"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2474AD2A" w14:textId="77777777" w:rsidTr="00F35B58">
        <w:trPr>
          <w:trHeight w:val="251"/>
        </w:trPr>
        <w:tc>
          <w:tcPr>
            <w:tcW w:w="0" w:type="auto"/>
            <w:tcBorders>
              <w:top w:val="single" w:sz="8" w:space="0" w:color="AEAEAE"/>
              <w:left w:val="single" w:sz="8" w:space="0" w:color="000000"/>
              <w:bottom w:val="single" w:sz="8" w:space="0" w:color="AEAEAE"/>
              <w:right w:val="single" w:sz="8" w:space="0" w:color="000000"/>
            </w:tcBorders>
          </w:tcPr>
          <w:p w14:paraId="3E95B6D5"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7</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1093EB17"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Students</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15AE7F70"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,626</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625BBA5C"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740950FB"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0F492674" w14:textId="77777777" w:rsidTr="00F35B58">
        <w:trPr>
          <w:trHeight w:val="251"/>
        </w:trPr>
        <w:tc>
          <w:tcPr>
            <w:tcW w:w="0" w:type="auto"/>
            <w:tcBorders>
              <w:top w:val="single" w:sz="8" w:space="0" w:color="AEAEAE"/>
              <w:left w:val="single" w:sz="8" w:space="0" w:color="000000"/>
              <w:bottom w:val="single" w:sz="8" w:space="0" w:color="AEAEAE"/>
              <w:right w:val="single" w:sz="8" w:space="0" w:color="000000"/>
            </w:tcBorders>
          </w:tcPr>
          <w:p w14:paraId="2B23E107"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8</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1A7C88EF"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Course of study</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369E05ED"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,569</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67562B6A"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6FCC64EF"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1C071EAE" w14:textId="77777777" w:rsidTr="00F35B58">
        <w:trPr>
          <w:trHeight w:val="251"/>
        </w:trPr>
        <w:tc>
          <w:tcPr>
            <w:tcW w:w="0" w:type="auto"/>
            <w:tcBorders>
              <w:top w:val="single" w:sz="8" w:space="0" w:color="AEAEAE"/>
              <w:left w:val="single" w:sz="8" w:space="0" w:color="000000"/>
              <w:bottom w:val="single" w:sz="8" w:space="0" w:color="AEAEAE"/>
              <w:right w:val="single" w:sz="8" w:space="0" w:color="000000"/>
            </w:tcBorders>
          </w:tcPr>
          <w:p w14:paraId="0454ECE9"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9</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49116609"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Overall exam organization</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3B84345F"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59D9F6D4"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,821</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19DF0673"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5198F687" w14:textId="77777777" w:rsidTr="00F35B58">
        <w:trPr>
          <w:trHeight w:val="251"/>
        </w:trPr>
        <w:tc>
          <w:tcPr>
            <w:tcW w:w="0" w:type="auto"/>
            <w:tcBorders>
              <w:top w:val="single" w:sz="8" w:space="0" w:color="AEAEAE"/>
              <w:left w:val="single" w:sz="8" w:space="0" w:color="000000"/>
              <w:bottom w:val="single" w:sz="8" w:space="0" w:color="AEAEAE"/>
              <w:right w:val="single" w:sz="8" w:space="0" w:color="000000"/>
            </w:tcBorders>
          </w:tcPr>
          <w:p w14:paraId="5830B5D4"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10</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5FBC5DD4"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Didactic material</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586889B9"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3D7853C7"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,762</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4C32BD67"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4B1F79A4" w14:textId="77777777" w:rsidTr="00F35B58">
        <w:trPr>
          <w:trHeight w:val="251"/>
        </w:trPr>
        <w:tc>
          <w:tcPr>
            <w:tcW w:w="0" w:type="auto"/>
            <w:tcBorders>
              <w:top w:val="single" w:sz="8" w:space="0" w:color="AEAEAE"/>
              <w:left w:val="single" w:sz="8" w:space="0" w:color="000000"/>
              <w:bottom w:val="single" w:sz="8" w:space="0" w:color="AEAEAE"/>
              <w:right w:val="single" w:sz="8" w:space="0" w:color="000000"/>
            </w:tcBorders>
          </w:tcPr>
          <w:p w14:paraId="74367846"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11</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68B11076"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Workload for the classes</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6BD16298"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5AC0585A"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,759</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200A6DB5"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r>
      <w:tr w:rsidR="0076715E" w:rsidRPr="0076715E" w14:paraId="57FDE5A7" w14:textId="77777777" w:rsidTr="00F35B58">
        <w:trPr>
          <w:trHeight w:val="251"/>
        </w:trPr>
        <w:tc>
          <w:tcPr>
            <w:tcW w:w="0" w:type="auto"/>
            <w:tcBorders>
              <w:top w:val="single" w:sz="8" w:space="0" w:color="AEAEAE"/>
              <w:left w:val="single" w:sz="8" w:space="0" w:color="000000"/>
              <w:bottom w:val="single" w:sz="8" w:space="0" w:color="AEAEAE"/>
              <w:right w:val="single" w:sz="8" w:space="0" w:color="000000"/>
            </w:tcBorders>
          </w:tcPr>
          <w:p w14:paraId="118A6DF6"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12</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06A920A1"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Interest in the employment opportunities</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2155850D"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68DDFEEA"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AEAEAE"/>
              <w:right w:val="single" w:sz="8" w:space="0" w:color="000000"/>
            </w:tcBorders>
            <w:shd w:val="clear" w:color="auto" w:fill="auto"/>
            <w:tcMar>
              <w:top w:w="15" w:type="dxa"/>
              <w:left w:w="15" w:type="dxa"/>
              <w:bottom w:w="0" w:type="dxa"/>
              <w:right w:w="15" w:type="dxa"/>
            </w:tcMar>
            <w:hideMark/>
          </w:tcPr>
          <w:p w14:paraId="278943E1"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,830</w:t>
            </w:r>
          </w:p>
        </w:tc>
      </w:tr>
      <w:tr w:rsidR="0076715E" w:rsidRPr="0076715E" w14:paraId="03982292" w14:textId="77777777" w:rsidTr="00F35B58">
        <w:trPr>
          <w:trHeight w:val="251"/>
        </w:trPr>
        <w:tc>
          <w:tcPr>
            <w:tcW w:w="0" w:type="auto"/>
            <w:tcBorders>
              <w:top w:val="single" w:sz="8" w:space="0" w:color="AEAEAE"/>
              <w:left w:val="single" w:sz="8" w:space="0" w:color="000000"/>
              <w:bottom w:val="single" w:sz="8" w:space="0" w:color="000000"/>
              <w:right w:val="single" w:sz="8" w:space="0" w:color="000000"/>
            </w:tcBorders>
          </w:tcPr>
          <w:p w14:paraId="42602C7B" w14:textId="77777777" w:rsidR="0076715E" w:rsidRPr="0076715E" w:rsidRDefault="0076715E" w:rsidP="0076715E">
            <w:pPr>
              <w:spacing w:after="0" w:line="320" w:lineRule="exact"/>
              <w:ind w:left="58" w:right="58"/>
              <w:rPr>
                <w:rFonts w:ascii="Times New Roman" w:eastAsia="Calibri" w:hAnsi="Times New Roman" w:cs="Times New Roman"/>
                <w:color w:val="000000"/>
                <w:kern w:val="24"/>
                <w:sz w:val="24"/>
                <w:szCs w:val="24"/>
                <w:lang w:val="en-GB"/>
              </w:rPr>
            </w:pPr>
            <w:r w:rsidRPr="0076715E">
              <w:rPr>
                <w:rFonts w:ascii="Times New Roman" w:eastAsia="Calibri" w:hAnsi="Times New Roman" w:cs="Times New Roman"/>
                <w:color w:val="000000"/>
                <w:kern w:val="24"/>
                <w:sz w:val="24"/>
                <w:szCs w:val="24"/>
                <w:lang w:val="en-GB"/>
              </w:rPr>
              <w:t>13</w:t>
            </w:r>
          </w:p>
        </w:tc>
        <w:tc>
          <w:tcPr>
            <w:tcW w:w="0" w:type="auto"/>
            <w:tcBorders>
              <w:top w:val="single" w:sz="8" w:space="0" w:color="AEAEAE"/>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E974B56" w14:textId="77777777" w:rsidR="0076715E" w:rsidRPr="0076715E" w:rsidRDefault="0076715E" w:rsidP="0076715E">
            <w:pPr>
              <w:spacing w:after="0" w:line="320" w:lineRule="exact"/>
              <w:ind w:left="58" w:right="58"/>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Interest in the subjects</w:t>
            </w:r>
          </w:p>
        </w:tc>
        <w:tc>
          <w:tcPr>
            <w:tcW w:w="0" w:type="auto"/>
            <w:tcBorders>
              <w:top w:val="single" w:sz="8" w:space="0" w:color="AEAEAE"/>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322E96"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31EC35" w14:textId="77777777" w:rsidR="0076715E" w:rsidRPr="0076715E" w:rsidRDefault="0076715E" w:rsidP="0076715E">
            <w:pPr>
              <w:spacing w:after="0" w:line="256" w:lineRule="auto"/>
              <w:rPr>
                <w:rFonts w:ascii="Times New Roman" w:eastAsia="Times New Roman" w:hAnsi="Times New Roman" w:cs="Times New Roman"/>
                <w:sz w:val="24"/>
                <w:szCs w:val="24"/>
                <w:lang w:val="en-GB"/>
              </w:rPr>
            </w:pPr>
            <w:r w:rsidRPr="0076715E">
              <w:rPr>
                <w:rFonts w:ascii="Times New Roman" w:eastAsia="Calibri" w:hAnsi="Times New Roman" w:cs="Times New Roman"/>
                <w:color w:val="000000"/>
                <w:kern w:val="24"/>
                <w:sz w:val="24"/>
                <w:szCs w:val="24"/>
                <w:lang w:val="en-GB"/>
              </w:rPr>
              <w:t> </w:t>
            </w:r>
          </w:p>
        </w:tc>
        <w:tc>
          <w:tcPr>
            <w:tcW w:w="0" w:type="auto"/>
            <w:tcBorders>
              <w:top w:val="single" w:sz="8" w:space="0" w:color="AEAEAE"/>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3FA48A" w14:textId="77777777" w:rsidR="0076715E" w:rsidRPr="0076715E" w:rsidRDefault="0076715E" w:rsidP="0076715E">
            <w:pPr>
              <w:spacing w:after="0" w:line="320" w:lineRule="exact"/>
              <w:ind w:left="58" w:right="58"/>
              <w:jc w:val="right"/>
              <w:rPr>
                <w:rFonts w:ascii="Times New Roman" w:eastAsia="Times New Roman" w:hAnsi="Times New Roman" w:cs="Times New Roman"/>
                <w:sz w:val="24"/>
                <w:szCs w:val="24"/>
                <w:lang w:val="en-GB"/>
              </w:rPr>
            </w:pPr>
            <w:r w:rsidRPr="0076715E">
              <w:rPr>
                <w:rFonts w:ascii="Times New Roman" w:eastAsia="Calibri" w:hAnsi="Times New Roman" w:cs="Times New Roman"/>
                <w:color w:val="010205"/>
                <w:kern w:val="24"/>
                <w:sz w:val="24"/>
                <w:szCs w:val="24"/>
                <w:lang w:val="en-GB"/>
              </w:rPr>
              <w:t>,827</w:t>
            </w:r>
          </w:p>
        </w:tc>
      </w:tr>
    </w:tbl>
    <w:p w14:paraId="7E72E5D2" w14:textId="77777777" w:rsidR="0076715E" w:rsidRPr="0076715E" w:rsidRDefault="0076715E" w:rsidP="0076715E">
      <w:pPr>
        <w:shd w:val="clear" w:color="auto" w:fill="FFFFFF"/>
        <w:spacing w:after="100" w:afterAutospacing="1" w:line="276" w:lineRule="auto"/>
        <w:jc w:val="both"/>
        <w:rPr>
          <w:rFonts w:ascii="Times New Roman" w:eastAsia="Times New Roman" w:hAnsi="Times New Roman" w:cs="Times New Roman"/>
          <w:i/>
          <w:iCs/>
          <w:color w:val="222222"/>
          <w:sz w:val="24"/>
          <w:szCs w:val="24"/>
          <w:lang w:val="en-GB" w:eastAsia="sq-AL"/>
        </w:rPr>
      </w:pPr>
      <w:r w:rsidRPr="0076715E">
        <w:rPr>
          <w:rFonts w:ascii="Times New Roman" w:eastAsia="Times New Roman" w:hAnsi="Times New Roman" w:cs="Times New Roman"/>
          <w:i/>
          <w:iCs/>
          <w:color w:val="222222"/>
          <w:sz w:val="24"/>
          <w:szCs w:val="24"/>
          <w:lang w:val="en-GB" w:eastAsia="sq-AL"/>
        </w:rPr>
        <w:t>Source: Authors own elaboration</w:t>
      </w:r>
    </w:p>
    <w:p w14:paraId="18E79EA1" w14:textId="77777777" w:rsidR="0076715E" w:rsidRPr="0076715E" w:rsidRDefault="0076715E" w:rsidP="0076715E">
      <w:pPr>
        <w:spacing w:before="120" w:after="24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The results of the regression analysis show a significant impact of the high school average, gender, attendance rate, motivation for choosing the study program and the adequacy of exam materials and exam organization on student performance. Female students turn out to perform better than male students. Parental education and family income don’t appear to have a significant impact on the academic achievement. Also, the degree of satisfaction with the study program does not have a significant impact on academic performance.</w:t>
      </w:r>
    </w:p>
    <w:p w14:paraId="08BD4B5A" w14:textId="77777777" w:rsidR="0076715E" w:rsidRPr="0076715E" w:rsidRDefault="0076715E" w:rsidP="0076715E">
      <w:pPr>
        <w:spacing w:after="200" w:line="240" w:lineRule="auto"/>
        <w:rPr>
          <w:rFonts w:ascii="Calibri" w:eastAsia="Calibri" w:hAnsi="Calibri" w:cs="Times New Roman"/>
          <w:sz w:val="18"/>
          <w:szCs w:val="18"/>
          <w:lang w:val="en-GB"/>
        </w:rPr>
      </w:pPr>
      <w:r w:rsidRPr="0076715E">
        <w:rPr>
          <w:rFonts w:ascii="Times New Roman" w:eastAsia="Calibri" w:hAnsi="Times New Roman" w:cs="Times New Roman"/>
          <w:sz w:val="24"/>
          <w:szCs w:val="24"/>
          <w:lang w:val="en-GB"/>
        </w:rPr>
        <w:t xml:space="preserve">Table </w:t>
      </w:r>
      <w:r w:rsidRPr="0076715E">
        <w:rPr>
          <w:rFonts w:ascii="Times New Roman" w:eastAsia="Calibri" w:hAnsi="Times New Roman" w:cs="Times New Roman"/>
          <w:sz w:val="24"/>
          <w:szCs w:val="24"/>
          <w:lang w:val="en-GB"/>
        </w:rPr>
        <w:fldChar w:fldCharType="begin"/>
      </w:r>
      <w:r w:rsidRPr="0076715E">
        <w:rPr>
          <w:rFonts w:ascii="Times New Roman" w:eastAsia="Calibri" w:hAnsi="Times New Roman" w:cs="Times New Roman"/>
          <w:sz w:val="24"/>
          <w:szCs w:val="24"/>
          <w:lang w:val="en-GB"/>
        </w:rPr>
        <w:instrText xml:space="preserve"> SEQ Table \* ARABIC </w:instrText>
      </w:r>
      <w:r w:rsidRPr="0076715E">
        <w:rPr>
          <w:rFonts w:ascii="Times New Roman" w:eastAsia="Calibri" w:hAnsi="Times New Roman" w:cs="Times New Roman"/>
          <w:sz w:val="24"/>
          <w:szCs w:val="24"/>
          <w:lang w:val="en-GB"/>
        </w:rPr>
        <w:fldChar w:fldCharType="separate"/>
      </w:r>
      <w:r w:rsidRPr="0076715E">
        <w:rPr>
          <w:rFonts w:ascii="Times New Roman" w:eastAsia="Calibri" w:hAnsi="Times New Roman" w:cs="Times New Roman"/>
          <w:noProof/>
          <w:sz w:val="24"/>
          <w:szCs w:val="24"/>
          <w:lang w:val="en-GB"/>
        </w:rPr>
        <w:t>4</w:t>
      </w:r>
      <w:r w:rsidRPr="0076715E">
        <w:rPr>
          <w:rFonts w:ascii="Times New Roman" w:eastAsia="Calibri" w:hAnsi="Times New Roman" w:cs="Times New Roman"/>
          <w:sz w:val="24"/>
          <w:szCs w:val="24"/>
          <w:lang w:val="en-GB"/>
        </w:rPr>
        <w:fldChar w:fldCharType="end"/>
      </w:r>
      <w:r w:rsidRPr="0076715E">
        <w:rPr>
          <w:rFonts w:ascii="Times New Roman" w:eastAsia="Calibri" w:hAnsi="Times New Roman" w:cs="Times New Roman"/>
          <w:sz w:val="24"/>
          <w:szCs w:val="24"/>
          <w:lang w:val="en-GB"/>
        </w:rPr>
        <w:t xml:space="preserve">: Results of the linear regression analysis </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906"/>
        <w:gridCol w:w="1140"/>
        <w:gridCol w:w="1614"/>
        <w:gridCol w:w="1206"/>
        <w:gridCol w:w="1283"/>
      </w:tblGrid>
      <w:tr w:rsidR="0076715E" w:rsidRPr="0076715E" w14:paraId="41878533" w14:textId="77777777" w:rsidTr="00F35B58">
        <w:trPr>
          <w:trHeight w:val="175"/>
          <w:jc w:val="center"/>
        </w:trPr>
        <w:tc>
          <w:tcPr>
            <w:tcW w:w="0" w:type="auto"/>
            <w:shd w:val="clear" w:color="auto" w:fill="auto"/>
            <w:hideMark/>
          </w:tcPr>
          <w:p w14:paraId="61006C66" w14:textId="77777777" w:rsidR="0076715E" w:rsidRPr="0076715E" w:rsidRDefault="0076715E" w:rsidP="0076715E">
            <w:pPr>
              <w:spacing w:after="0"/>
              <w:jc w:val="center"/>
              <w:rPr>
                <w:rFonts w:ascii="Times New Roman" w:eastAsia="Times New Roman" w:hAnsi="Times New Roman" w:cs="Times New Roman"/>
                <w:b/>
                <w:color w:val="222222"/>
                <w:sz w:val="24"/>
                <w:szCs w:val="24"/>
                <w:lang w:val="en-GB" w:eastAsia="sq-AL"/>
              </w:rPr>
            </w:pPr>
          </w:p>
        </w:tc>
        <w:tc>
          <w:tcPr>
            <w:tcW w:w="0" w:type="auto"/>
            <w:shd w:val="clear" w:color="auto" w:fill="auto"/>
            <w:tcMar>
              <w:top w:w="15" w:type="dxa"/>
              <w:left w:w="15" w:type="dxa"/>
              <w:bottom w:w="0" w:type="dxa"/>
              <w:right w:w="15" w:type="dxa"/>
            </w:tcMar>
            <w:hideMark/>
          </w:tcPr>
          <w:p w14:paraId="684B6170" w14:textId="77777777" w:rsidR="0076715E" w:rsidRPr="0076715E" w:rsidRDefault="0076715E" w:rsidP="0076715E">
            <w:pPr>
              <w:spacing w:after="0"/>
              <w:jc w:val="center"/>
              <w:rPr>
                <w:rFonts w:ascii="Times New Roman" w:eastAsia="Times New Roman" w:hAnsi="Times New Roman" w:cs="Times New Roman"/>
                <w:b/>
                <w:color w:val="222222"/>
                <w:sz w:val="24"/>
                <w:szCs w:val="24"/>
                <w:lang w:val="en-GB" w:eastAsia="sq-AL"/>
              </w:rPr>
            </w:pPr>
            <w:r w:rsidRPr="0076715E">
              <w:rPr>
                <w:rFonts w:ascii="Times New Roman" w:eastAsia="Times New Roman" w:hAnsi="Times New Roman" w:cs="Times New Roman"/>
                <w:b/>
                <w:color w:val="222222"/>
                <w:sz w:val="24"/>
                <w:szCs w:val="24"/>
                <w:lang w:val="en-GB" w:eastAsia="sq-AL"/>
              </w:rPr>
              <w:t>Coeff</w:t>
            </w:r>
          </w:p>
        </w:tc>
        <w:tc>
          <w:tcPr>
            <w:tcW w:w="1614" w:type="dxa"/>
            <w:shd w:val="clear" w:color="auto" w:fill="auto"/>
            <w:tcMar>
              <w:top w:w="15" w:type="dxa"/>
              <w:left w:w="15" w:type="dxa"/>
              <w:bottom w:w="0" w:type="dxa"/>
              <w:right w:w="15" w:type="dxa"/>
            </w:tcMar>
            <w:hideMark/>
          </w:tcPr>
          <w:p w14:paraId="2EE60478" w14:textId="77777777" w:rsidR="0076715E" w:rsidRPr="0076715E" w:rsidRDefault="0076715E" w:rsidP="0076715E">
            <w:pPr>
              <w:spacing w:after="0"/>
              <w:jc w:val="center"/>
              <w:rPr>
                <w:rFonts w:ascii="Times New Roman" w:eastAsia="Times New Roman" w:hAnsi="Times New Roman" w:cs="Times New Roman"/>
                <w:b/>
                <w:color w:val="222222"/>
                <w:sz w:val="24"/>
                <w:szCs w:val="24"/>
                <w:lang w:val="en-GB" w:eastAsia="sq-AL"/>
              </w:rPr>
            </w:pPr>
            <w:r w:rsidRPr="0076715E">
              <w:rPr>
                <w:rFonts w:ascii="Times New Roman" w:eastAsia="Times New Roman" w:hAnsi="Times New Roman" w:cs="Times New Roman"/>
                <w:b/>
                <w:color w:val="222222"/>
                <w:sz w:val="24"/>
                <w:szCs w:val="24"/>
                <w:lang w:val="en-GB" w:eastAsia="sq-AL"/>
              </w:rPr>
              <w:t>Std. Error</w:t>
            </w:r>
          </w:p>
        </w:tc>
        <w:tc>
          <w:tcPr>
            <w:tcW w:w="1206" w:type="dxa"/>
            <w:shd w:val="clear" w:color="auto" w:fill="auto"/>
            <w:hideMark/>
          </w:tcPr>
          <w:p w14:paraId="49462FF5" w14:textId="77777777" w:rsidR="0076715E" w:rsidRPr="0076715E" w:rsidRDefault="0076715E" w:rsidP="0076715E">
            <w:pPr>
              <w:spacing w:after="0"/>
              <w:jc w:val="center"/>
              <w:rPr>
                <w:rFonts w:ascii="Times New Roman" w:eastAsia="Times New Roman" w:hAnsi="Times New Roman" w:cs="Times New Roman"/>
                <w:b/>
                <w:color w:val="222222"/>
                <w:sz w:val="24"/>
                <w:szCs w:val="24"/>
                <w:lang w:val="en-GB" w:eastAsia="sq-AL"/>
              </w:rPr>
            </w:pPr>
            <w:r w:rsidRPr="0076715E">
              <w:rPr>
                <w:rFonts w:ascii="Times New Roman" w:eastAsia="Times New Roman" w:hAnsi="Times New Roman" w:cs="Times New Roman"/>
                <w:b/>
                <w:color w:val="222222"/>
                <w:sz w:val="24"/>
                <w:szCs w:val="24"/>
                <w:lang w:val="en-GB" w:eastAsia="sq-AL"/>
              </w:rPr>
              <w:t>t</w:t>
            </w:r>
          </w:p>
        </w:tc>
        <w:tc>
          <w:tcPr>
            <w:tcW w:w="1283" w:type="dxa"/>
            <w:shd w:val="clear" w:color="auto" w:fill="auto"/>
            <w:hideMark/>
          </w:tcPr>
          <w:p w14:paraId="24AAA4F8" w14:textId="77777777" w:rsidR="0076715E" w:rsidRPr="0076715E" w:rsidRDefault="0076715E" w:rsidP="0076715E">
            <w:pPr>
              <w:spacing w:after="0"/>
              <w:jc w:val="center"/>
              <w:rPr>
                <w:rFonts w:ascii="Times New Roman" w:eastAsia="Times New Roman" w:hAnsi="Times New Roman" w:cs="Times New Roman"/>
                <w:b/>
                <w:color w:val="222222"/>
                <w:sz w:val="24"/>
                <w:szCs w:val="24"/>
                <w:lang w:val="en-GB" w:eastAsia="sq-AL"/>
              </w:rPr>
            </w:pPr>
            <w:r w:rsidRPr="0076715E">
              <w:rPr>
                <w:rFonts w:ascii="Times New Roman" w:eastAsia="Times New Roman" w:hAnsi="Times New Roman" w:cs="Times New Roman"/>
                <w:b/>
                <w:color w:val="222222"/>
                <w:sz w:val="24"/>
                <w:szCs w:val="24"/>
                <w:lang w:val="en-GB" w:eastAsia="sq-AL"/>
              </w:rPr>
              <w:t>Sig.</w:t>
            </w:r>
          </w:p>
        </w:tc>
      </w:tr>
      <w:tr w:rsidR="0076715E" w:rsidRPr="0076715E" w14:paraId="6E6A67F8" w14:textId="77777777" w:rsidTr="00F35B58">
        <w:trPr>
          <w:trHeight w:val="219"/>
          <w:jc w:val="center"/>
        </w:trPr>
        <w:tc>
          <w:tcPr>
            <w:tcW w:w="0" w:type="auto"/>
            <w:shd w:val="clear" w:color="auto" w:fill="auto"/>
            <w:tcMar>
              <w:top w:w="15" w:type="dxa"/>
              <w:left w:w="15" w:type="dxa"/>
              <w:bottom w:w="0" w:type="dxa"/>
              <w:right w:w="15" w:type="dxa"/>
            </w:tcMar>
            <w:hideMark/>
          </w:tcPr>
          <w:p w14:paraId="070DDDD5"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(Constant)</w:t>
            </w:r>
          </w:p>
        </w:tc>
        <w:tc>
          <w:tcPr>
            <w:tcW w:w="0" w:type="auto"/>
            <w:shd w:val="clear" w:color="auto" w:fill="auto"/>
            <w:tcMar>
              <w:top w:w="15" w:type="dxa"/>
              <w:left w:w="15" w:type="dxa"/>
              <w:bottom w:w="0" w:type="dxa"/>
              <w:right w:w="15" w:type="dxa"/>
            </w:tcMar>
            <w:hideMark/>
          </w:tcPr>
          <w:p w14:paraId="3A03E1DC"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4,034***</w:t>
            </w:r>
          </w:p>
        </w:tc>
        <w:tc>
          <w:tcPr>
            <w:tcW w:w="1614" w:type="dxa"/>
            <w:shd w:val="clear" w:color="auto" w:fill="auto"/>
            <w:tcMar>
              <w:top w:w="15" w:type="dxa"/>
              <w:left w:w="15" w:type="dxa"/>
              <w:bottom w:w="0" w:type="dxa"/>
              <w:right w:w="15" w:type="dxa"/>
            </w:tcMar>
            <w:hideMark/>
          </w:tcPr>
          <w:p w14:paraId="41FC9894"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0,451</w:t>
            </w:r>
          </w:p>
        </w:tc>
        <w:tc>
          <w:tcPr>
            <w:tcW w:w="1206" w:type="dxa"/>
            <w:shd w:val="clear" w:color="auto" w:fill="auto"/>
            <w:tcMar>
              <w:top w:w="15" w:type="dxa"/>
              <w:left w:w="15" w:type="dxa"/>
              <w:bottom w:w="0" w:type="dxa"/>
              <w:right w:w="15" w:type="dxa"/>
            </w:tcMar>
            <w:hideMark/>
          </w:tcPr>
          <w:p w14:paraId="12762F93"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8,951</w:t>
            </w:r>
          </w:p>
        </w:tc>
        <w:tc>
          <w:tcPr>
            <w:tcW w:w="1283" w:type="dxa"/>
            <w:shd w:val="clear" w:color="auto" w:fill="auto"/>
            <w:tcMar>
              <w:top w:w="15" w:type="dxa"/>
              <w:left w:w="15" w:type="dxa"/>
              <w:bottom w:w="0" w:type="dxa"/>
              <w:right w:w="15" w:type="dxa"/>
            </w:tcMar>
            <w:hideMark/>
          </w:tcPr>
          <w:p w14:paraId="5B0BCAA8"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0,000</w:t>
            </w:r>
          </w:p>
        </w:tc>
      </w:tr>
      <w:tr w:rsidR="0076715E" w:rsidRPr="0076715E" w14:paraId="12373E28" w14:textId="77777777" w:rsidTr="00F35B58">
        <w:trPr>
          <w:trHeight w:val="175"/>
          <w:jc w:val="center"/>
        </w:trPr>
        <w:tc>
          <w:tcPr>
            <w:tcW w:w="0" w:type="auto"/>
            <w:shd w:val="clear" w:color="auto" w:fill="auto"/>
            <w:tcMar>
              <w:top w:w="15" w:type="dxa"/>
              <w:left w:w="15" w:type="dxa"/>
              <w:bottom w:w="0" w:type="dxa"/>
              <w:right w:w="15" w:type="dxa"/>
            </w:tcMar>
            <w:hideMark/>
          </w:tcPr>
          <w:p w14:paraId="0323863D"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Gender (F=1)</w:t>
            </w:r>
          </w:p>
        </w:tc>
        <w:tc>
          <w:tcPr>
            <w:tcW w:w="0" w:type="auto"/>
            <w:shd w:val="clear" w:color="auto" w:fill="auto"/>
            <w:tcMar>
              <w:top w:w="15" w:type="dxa"/>
              <w:left w:w="15" w:type="dxa"/>
              <w:bottom w:w="0" w:type="dxa"/>
              <w:right w:w="15" w:type="dxa"/>
            </w:tcMar>
            <w:hideMark/>
          </w:tcPr>
          <w:p w14:paraId="04E1906E"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0,211**</w:t>
            </w:r>
          </w:p>
        </w:tc>
        <w:tc>
          <w:tcPr>
            <w:tcW w:w="1614" w:type="dxa"/>
            <w:shd w:val="clear" w:color="auto" w:fill="auto"/>
            <w:tcMar>
              <w:top w:w="15" w:type="dxa"/>
              <w:left w:w="15" w:type="dxa"/>
              <w:bottom w:w="0" w:type="dxa"/>
              <w:right w:w="15" w:type="dxa"/>
            </w:tcMar>
            <w:hideMark/>
          </w:tcPr>
          <w:p w14:paraId="5C6E7D44"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0,102</w:t>
            </w:r>
          </w:p>
        </w:tc>
        <w:tc>
          <w:tcPr>
            <w:tcW w:w="1206" w:type="dxa"/>
            <w:shd w:val="clear" w:color="auto" w:fill="auto"/>
            <w:tcMar>
              <w:top w:w="15" w:type="dxa"/>
              <w:left w:w="15" w:type="dxa"/>
              <w:bottom w:w="0" w:type="dxa"/>
              <w:right w:w="15" w:type="dxa"/>
            </w:tcMar>
            <w:hideMark/>
          </w:tcPr>
          <w:p w14:paraId="15C8781B"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2,077</w:t>
            </w:r>
          </w:p>
        </w:tc>
        <w:tc>
          <w:tcPr>
            <w:tcW w:w="1283" w:type="dxa"/>
            <w:shd w:val="clear" w:color="auto" w:fill="auto"/>
            <w:tcMar>
              <w:top w:w="15" w:type="dxa"/>
              <w:left w:w="15" w:type="dxa"/>
              <w:bottom w:w="0" w:type="dxa"/>
              <w:right w:w="15" w:type="dxa"/>
            </w:tcMar>
            <w:hideMark/>
          </w:tcPr>
          <w:p w14:paraId="46B46944"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0,038</w:t>
            </w:r>
          </w:p>
        </w:tc>
      </w:tr>
      <w:tr w:rsidR="0076715E" w:rsidRPr="0076715E" w14:paraId="01DCFB05" w14:textId="77777777" w:rsidTr="00F35B58">
        <w:trPr>
          <w:trHeight w:val="190"/>
          <w:jc w:val="center"/>
        </w:trPr>
        <w:tc>
          <w:tcPr>
            <w:tcW w:w="0" w:type="auto"/>
            <w:shd w:val="clear" w:color="auto" w:fill="auto"/>
            <w:tcMar>
              <w:top w:w="15" w:type="dxa"/>
              <w:left w:w="15" w:type="dxa"/>
              <w:bottom w:w="0" w:type="dxa"/>
              <w:right w:w="15" w:type="dxa"/>
            </w:tcMar>
            <w:hideMark/>
          </w:tcPr>
          <w:p w14:paraId="6C583FF2"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High school GPA</w:t>
            </w:r>
          </w:p>
        </w:tc>
        <w:tc>
          <w:tcPr>
            <w:tcW w:w="0" w:type="auto"/>
            <w:shd w:val="clear" w:color="auto" w:fill="auto"/>
            <w:tcMar>
              <w:top w:w="15" w:type="dxa"/>
              <w:left w:w="15" w:type="dxa"/>
              <w:bottom w:w="0" w:type="dxa"/>
              <w:right w:w="15" w:type="dxa"/>
            </w:tcMar>
            <w:hideMark/>
          </w:tcPr>
          <w:p w14:paraId="109A28B1"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0,314***</w:t>
            </w:r>
          </w:p>
        </w:tc>
        <w:tc>
          <w:tcPr>
            <w:tcW w:w="1614" w:type="dxa"/>
            <w:shd w:val="clear" w:color="auto" w:fill="auto"/>
            <w:tcMar>
              <w:top w:w="15" w:type="dxa"/>
              <w:left w:w="15" w:type="dxa"/>
              <w:bottom w:w="0" w:type="dxa"/>
              <w:right w:w="15" w:type="dxa"/>
            </w:tcMar>
            <w:hideMark/>
          </w:tcPr>
          <w:p w14:paraId="0517D8DC"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0,041</w:t>
            </w:r>
          </w:p>
        </w:tc>
        <w:tc>
          <w:tcPr>
            <w:tcW w:w="1206" w:type="dxa"/>
            <w:shd w:val="clear" w:color="auto" w:fill="auto"/>
            <w:tcMar>
              <w:top w:w="15" w:type="dxa"/>
              <w:left w:w="15" w:type="dxa"/>
              <w:bottom w:w="0" w:type="dxa"/>
              <w:right w:w="15" w:type="dxa"/>
            </w:tcMar>
            <w:hideMark/>
          </w:tcPr>
          <w:p w14:paraId="7EE71921"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7,575</w:t>
            </w:r>
          </w:p>
        </w:tc>
        <w:tc>
          <w:tcPr>
            <w:tcW w:w="1283" w:type="dxa"/>
            <w:shd w:val="clear" w:color="auto" w:fill="auto"/>
            <w:tcMar>
              <w:top w:w="15" w:type="dxa"/>
              <w:left w:w="15" w:type="dxa"/>
              <w:bottom w:w="0" w:type="dxa"/>
              <w:right w:w="15" w:type="dxa"/>
            </w:tcMar>
            <w:hideMark/>
          </w:tcPr>
          <w:p w14:paraId="02BC0373"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0,000</w:t>
            </w:r>
          </w:p>
        </w:tc>
      </w:tr>
      <w:tr w:rsidR="0076715E" w:rsidRPr="0076715E" w14:paraId="6C3540C9" w14:textId="77777777" w:rsidTr="00F35B58">
        <w:trPr>
          <w:trHeight w:val="175"/>
          <w:jc w:val="center"/>
        </w:trPr>
        <w:tc>
          <w:tcPr>
            <w:tcW w:w="0" w:type="auto"/>
            <w:shd w:val="clear" w:color="auto" w:fill="auto"/>
            <w:tcMar>
              <w:top w:w="15" w:type="dxa"/>
              <w:left w:w="15" w:type="dxa"/>
              <w:bottom w:w="0" w:type="dxa"/>
              <w:right w:w="15" w:type="dxa"/>
            </w:tcMar>
            <w:hideMark/>
          </w:tcPr>
          <w:p w14:paraId="159690B0"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Income</w:t>
            </w:r>
          </w:p>
        </w:tc>
        <w:tc>
          <w:tcPr>
            <w:tcW w:w="0" w:type="auto"/>
            <w:shd w:val="clear" w:color="auto" w:fill="auto"/>
            <w:tcMar>
              <w:top w:w="15" w:type="dxa"/>
              <w:left w:w="15" w:type="dxa"/>
              <w:bottom w:w="0" w:type="dxa"/>
              <w:right w:w="15" w:type="dxa"/>
            </w:tcMar>
            <w:hideMark/>
          </w:tcPr>
          <w:p w14:paraId="4C397E4F"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-0,021</w:t>
            </w:r>
          </w:p>
        </w:tc>
        <w:tc>
          <w:tcPr>
            <w:tcW w:w="1614" w:type="dxa"/>
            <w:shd w:val="clear" w:color="auto" w:fill="auto"/>
            <w:tcMar>
              <w:top w:w="15" w:type="dxa"/>
              <w:left w:w="15" w:type="dxa"/>
              <w:bottom w:w="0" w:type="dxa"/>
              <w:right w:w="15" w:type="dxa"/>
            </w:tcMar>
            <w:hideMark/>
          </w:tcPr>
          <w:p w14:paraId="54AF6EC3"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0,046</w:t>
            </w:r>
          </w:p>
        </w:tc>
        <w:tc>
          <w:tcPr>
            <w:tcW w:w="1206" w:type="dxa"/>
            <w:shd w:val="clear" w:color="auto" w:fill="auto"/>
            <w:tcMar>
              <w:top w:w="15" w:type="dxa"/>
              <w:left w:w="15" w:type="dxa"/>
              <w:bottom w:w="0" w:type="dxa"/>
              <w:right w:w="15" w:type="dxa"/>
            </w:tcMar>
            <w:hideMark/>
          </w:tcPr>
          <w:p w14:paraId="69392334"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-0,464</w:t>
            </w:r>
          </w:p>
        </w:tc>
        <w:tc>
          <w:tcPr>
            <w:tcW w:w="1283" w:type="dxa"/>
            <w:shd w:val="clear" w:color="auto" w:fill="auto"/>
            <w:tcMar>
              <w:top w:w="15" w:type="dxa"/>
              <w:left w:w="15" w:type="dxa"/>
              <w:bottom w:w="0" w:type="dxa"/>
              <w:right w:w="15" w:type="dxa"/>
            </w:tcMar>
            <w:hideMark/>
          </w:tcPr>
          <w:p w14:paraId="50085F1A"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0,643</w:t>
            </w:r>
          </w:p>
        </w:tc>
      </w:tr>
      <w:tr w:rsidR="0076715E" w:rsidRPr="0076715E" w14:paraId="0E717D07" w14:textId="77777777" w:rsidTr="00F35B58">
        <w:trPr>
          <w:trHeight w:val="175"/>
          <w:jc w:val="center"/>
        </w:trPr>
        <w:tc>
          <w:tcPr>
            <w:tcW w:w="0" w:type="auto"/>
            <w:shd w:val="clear" w:color="auto" w:fill="auto"/>
            <w:tcMar>
              <w:top w:w="15" w:type="dxa"/>
              <w:left w:w="15" w:type="dxa"/>
              <w:bottom w:w="0" w:type="dxa"/>
              <w:right w:w="15" w:type="dxa"/>
            </w:tcMar>
            <w:hideMark/>
          </w:tcPr>
          <w:p w14:paraId="52033EC7"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Father education</w:t>
            </w:r>
          </w:p>
        </w:tc>
        <w:tc>
          <w:tcPr>
            <w:tcW w:w="0" w:type="auto"/>
            <w:shd w:val="clear" w:color="auto" w:fill="auto"/>
            <w:tcMar>
              <w:top w:w="15" w:type="dxa"/>
              <w:left w:w="15" w:type="dxa"/>
              <w:bottom w:w="0" w:type="dxa"/>
              <w:right w:w="15" w:type="dxa"/>
            </w:tcMar>
            <w:hideMark/>
          </w:tcPr>
          <w:p w14:paraId="618C3786"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-0,052</w:t>
            </w:r>
          </w:p>
        </w:tc>
        <w:tc>
          <w:tcPr>
            <w:tcW w:w="1614" w:type="dxa"/>
            <w:shd w:val="clear" w:color="auto" w:fill="auto"/>
            <w:tcMar>
              <w:top w:w="15" w:type="dxa"/>
              <w:left w:w="15" w:type="dxa"/>
              <w:bottom w:w="0" w:type="dxa"/>
              <w:right w:w="15" w:type="dxa"/>
            </w:tcMar>
            <w:hideMark/>
          </w:tcPr>
          <w:p w14:paraId="5B3B0AB6"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0,072</w:t>
            </w:r>
          </w:p>
        </w:tc>
        <w:tc>
          <w:tcPr>
            <w:tcW w:w="1206" w:type="dxa"/>
            <w:shd w:val="clear" w:color="auto" w:fill="auto"/>
            <w:tcMar>
              <w:top w:w="15" w:type="dxa"/>
              <w:left w:w="15" w:type="dxa"/>
              <w:bottom w:w="0" w:type="dxa"/>
              <w:right w:w="15" w:type="dxa"/>
            </w:tcMar>
            <w:hideMark/>
          </w:tcPr>
          <w:p w14:paraId="0316CBB3"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-0,728</w:t>
            </w:r>
          </w:p>
        </w:tc>
        <w:tc>
          <w:tcPr>
            <w:tcW w:w="1283" w:type="dxa"/>
            <w:shd w:val="clear" w:color="auto" w:fill="auto"/>
            <w:tcMar>
              <w:top w:w="15" w:type="dxa"/>
              <w:left w:w="15" w:type="dxa"/>
              <w:bottom w:w="0" w:type="dxa"/>
              <w:right w:w="15" w:type="dxa"/>
            </w:tcMar>
            <w:hideMark/>
          </w:tcPr>
          <w:p w14:paraId="1C9154DE"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0,467</w:t>
            </w:r>
          </w:p>
        </w:tc>
      </w:tr>
      <w:tr w:rsidR="0076715E" w:rsidRPr="0076715E" w14:paraId="5E032551" w14:textId="77777777" w:rsidTr="00F35B58">
        <w:trPr>
          <w:trHeight w:val="198"/>
          <w:jc w:val="center"/>
        </w:trPr>
        <w:tc>
          <w:tcPr>
            <w:tcW w:w="0" w:type="auto"/>
            <w:shd w:val="clear" w:color="auto" w:fill="auto"/>
            <w:tcMar>
              <w:top w:w="15" w:type="dxa"/>
              <w:left w:w="15" w:type="dxa"/>
              <w:bottom w:w="0" w:type="dxa"/>
              <w:right w:w="15" w:type="dxa"/>
            </w:tcMar>
            <w:hideMark/>
          </w:tcPr>
          <w:p w14:paraId="32D63EC0"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Mother education</w:t>
            </w:r>
          </w:p>
        </w:tc>
        <w:tc>
          <w:tcPr>
            <w:tcW w:w="0" w:type="auto"/>
            <w:shd w:val="clear" w:color="auto" w:fill="auto"/>
            <w:tcMar>
              <w:top w:w="15" w:type="dxa"/>
              <w:left w:w="15" w:type="dxa"/>
              <w:bottom w:w="0" w:type="dxa"/>
              <w:right w:w="15" w:type="dxa"/>
            </w:tcMar>
            <w:hideMark/>
          </w:tcPr>
          <w:p w14:paraId="603210FB"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0,054</w:t>
            </w:r>
          </w:p>
        </w:tc>
        <w:tc>
          <w:tcPr>
            <w:tcW w:w="1614" w:type="dxa"/>
            <w:shd w:val="clear" w:color="auto" w:fill="auto"/>
            <w:tcMar>
              <w:top w:w="15" w:type="dxa"/>
              <w:left w:w="15" w:type="dxa"/>
              <w:bottom w:w="0" w:type="dxa"/>
              <w:right w:w="15" w:type="dxa"/>
            </w:tcMar>
            <w:hideMark/>
          </w:tcPr>
          <w:p w14:paraId="7BC26717"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0,071</w:t>
            </w:r>
          </w:p>
        </w:tc>
        <w:tc>
          <w:tcPr>
            <w:tcW w:w="1206" w:type="dxa"/>
            <w:shd w:val="clear" w:color="auto" w:fill="auto"/>
            <w:tcMar>
              <w:top w:w="15" w:type="dxa"/>
              <w:left w:w="15" w:type="dxa"/>
              <w:bottom w:w="0" w:type="dxa"/>
              <w:right w:w="15" w:type="dxa"/>
            </w:tcMar>
            <w:hideMark/>
          </w:tcPr>
          <w:p w14:paraId="6BF9CB7F"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0,750</w:t>
            </w:r>
          </w:p>
        </w:tc>
        <w:tc>
          <w:tcPr>
            <w:tcW w:w="1283" w:type="dxa"/>
            <w:shd w:val="clear" w:color="auto" w:fill="auto"/>
            <w:tcMar>
              <w:top w:w="15" w:type="dxa"/>
              <w:left w:w="15" w:type="dxa"/>
              <w:bottom w:w="0" w:type="dxa"/>
              <w:right w:w="15" w:type="dxa"/>
            </w:tcMar>
            <w:hideMark/>
          </w:tcPr>
          <w:p w14:paraId="6900C7F0"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0,453</w:t>
            </w:r>
          </w:p>
        </w:tc>
      </w:tr>
      <w:tr w:rsidR="0076715E" w:rsidRPr="0076715E" w14:paraId="22968815" w14:textId="77777777" w:rsidTr="00F35B58">
        <w:trPr>
          <w:trHeight w:val="175"/>
          <w:jc w:val="center"/>
        </w:trPr>
        <w:tc>
          <w:tcPr>
            <w:tcW w:w="0" w:type="auto"/>
            <w:shd w:val="clear" w:color="auto" w:fill="auto"/>
            <w:tcMar>
              <w:top w:w="15" w:type="dxa"/>
              <w:left w:w="15" w:type="dxa"/>
              <w:bottom w:w="0" w:type="dxa"/>
              <w:right w:w="15" w:type="dxa"/>
            </w:tcMar>
            <w:hideMark/>
          </w:tcPr>
          <w:p w14:paraId="39BB7A2E"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Class attendance</w:t>
            </w:r>
          </w:p>
        </w:tc>
        <w:tc>
          <w:tcPr>
            <w:tcW w:w="0" w:type="auto"/>
            <w:shd w:val="clear" w:color="auto" w:fill="auto"/>
            <w:tcMar>
              <w:top w:w="15" w:type="dxa"/>
              <w:left w:w="15" w:type="dxa"/>
              <w:bottom w:w="0" w:type="dxa"/>
              <w:right w:w="15" w:type="dxa"/>
            </w:tcMar>
            <w:hideMark/>
          </w:tcPr>
          <w:p w14:paraId="684B03CF"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0,130*</w:t>
            </w:r>
          </w:p>
        </w:tc>
        <w:tc>
          <w:tcPr>
            <w:tcW w:w="1614" w:type="dxa"/>
            <w:shd w:val="clear" w:color="auto" w:fill="auto"/>
            <w:tcMar>
              <w:top w:w="15" w:type="dxa"/>
              <w:left w:w="15" w:type="dxa"/>
              <w:bottom w:w="0" w:type="dxa"/>
              <w:right w:w="15" w:type="dxa"/>
            </w:tcMar>
            <w:hideMark/>
          </w:tcPr>
          <w:p w14:paraId="20DE18E2"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0,075</w:t>
            </w:r>
          </w:p>
        </w:tc>
        <w:tc>
          <w:tcPr>
            <w:tcW w:w="1206" w:type="dxa"/>
            <w:shd w:val="clear" w:color="auto" w:fill="auto"/>
            <w:tcMar>
              <w:top w:w="15" w:type="dxa"/>
              <w:left w:w="15" w:type="dxa"/>
              <w:bottom w:w="0" w:type="dxa"/>
              <w:right w:w="15" w:type="dxa"/>
            </w:tcMar>
            <w:hideMark/>
          </w:tcPr>
          <w:p w14:paraId="036D532C"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1,736</w:t>
            </w:r>
          </w:p>
        </w:tc>
        <w:tc>
          <w:tcPr>
            <w:tcW w:w="1283" w:type="dxa"/>
            <w:shd w:val="clear" w:color="auto" w:fill="auto"/>
            <w:tcMar>
              <w:top w:w="15" w:type="dxa"/>
              <w:left w:w="15" w:type="dxa"/>
              <w:bottom w:w="0" w:type="dxa"/>
              <w:right w:w="15" w:type="dxa"/>
            </w:tcMar>
            <w:hideMark/>
          </w:tcPr>
          <w:p w14:paraId="141C73E3"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0,083</w:t>
            </w:r>
          </w:p>
        </w:tc>
      </w:tr>
      <w:tr w:rsidR="0076715E" w:rsidRPr="0076715E" w14:paraId="7AC1D09F" w14:textId="77777777" w:rsidTr="00F35B58">
        <w:trPr>
          <w:trHeight w:val="217"/>
          <w:jc w:val="center"/>
        </w:trPr>
        <w:tc>
          <w:tcPr>
            <w:tcW w:w="0" w:type="auto"/>
            <w:shd w:val="clear" w:color="auto" w:fill="auto"/>
            <w:tcMar>
              <w:top w:w="15" w:type="dxa"/>
              <w:left w:w="15" w:type="dxa"/>
              <w:bottom w:w="0" w:type="dxa"/>
              <w:right w:w="15" w:type="dxa"/>
            </w:tcMar>
            <w:hideMark/>
          </w:tcPr>
          <w:p w14:paraId="03EF6573"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Evaluation of the course</w:t>
            </w:r>
          </w:p>
        </w:tc>
        <w:tc>
          <w:tcPr>
            <w:tcW w:w="0" w:type="auto"/>
            <w:shd w:val="clear" w:color="auto" w:fill="auto"/>
            <w:tcMar>
              <w:top w:w="15" w:type="dxa"/>
              <w:left w:w="15" w:type="dxa"/>
              <w:bottom w:w="0" w:type="dxa"/>
              <w:right w:w="15" w:type="dxa"/>
            </w:tcMar>
            <w:hideMark/>
          </w:tcPr>
          <w:p w14:paraId="12139BC3"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0,036</w:t>
            </w:r>
          </w:p>
        </w:tc>
        <w:tc>
          <w:tcPr>
            <w:tcW w:w="1614" w:type="dxa"/>
            <w:shd w:val="clear" w:color="auto" w:fill="auto"/>
            <w:tcMar>
              <w:top w:w="15" w:type="dxa"/>
              <w:left w:w="15" w:type="dxa"/>
              <w:bottom w:w="0" w:type="dxa"/>
              <w:right w:w="15" w:type="dxa"/>
            </w:tcMar>
            <w:hideMark/>
          </w:tcPr>
          <w:p w14:paraId="154B370C"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0,046</w:t>
            </w:r>
          </w:p>
        </w:tc>
        <w:tc>
          <w:tcPr>
            <w:tcW w:w="1206" w:type="dxa"/>
            <w:shd w:val="clear" w:color="auto" w:fill="auto"/>
            <w:tcMar>
              <w:top w:w="15" w:type="dxa"/>
              <w:left w:w="15" w:type="dxa"/>
              <w:bottom w:w="0" w:type="dxa"/>
              <w:right w:w="15" w:type="dxa"/>
            </w:tcMar>
            <w:hideMark/>
          </w:tcPr>
          <w:p w14:paraId="018B8B79"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0,790</w:t>
            </w:r>
          </w:p>
        </w:tc>
        <w:tc>
          <w:tcPr>
            <w:tcW w:w="1283" w:type="dxa"/>
            <w:shd w:val="clear" w:color="auto" w:fill="auto"/>
            <w:tcMar>
              <w:top w:w="15" w:type="dxa"/>
              <w:left w:w="15" w:type="dxa"/>
              <w:bottom w:w="0" w:type="dxa"/>
              <w:right w:w="15" w:type="dxa"/>
            </w:tcMar>
            <w:hideMark/>
          </w:tcPr>
          <w:p w14:paraId="617258B4"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0,430</w:t>
            </w:r>
          </w:p>
        </w:tc>
      </w:tr>
      <w:tr w:rsidR="0076715E" w:rsidRPr="0076715E" w14:paraId="24680063" w14:textId="77777777" w:rsidTr="00F35B58">
        <w:trPr>
          <w:trHeight w:val="224"/>
          <w:jc w:val="center"/>
        </w:trPr>
        <w:tc>
          <w:tcPr>
            <w:tcW w:w="0" w:type="auto"/>
            <w:shd w:val="clear" w:color="auto" w:fill="auto"/>
            <w:tcMar>
              <w:top w:w="15" w:type="dxa"/>
              <w:left w:w="15" w:type="dxa"/>
              <w:bottom w:w="0" w:type="dxa"/>
              <w:right w:w="15" w:type="dxa"/>
            </w:tcMar>
            <w:hideMark/>
          </w:tcPr>
          <w:p w14:paraId="786D6A41"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Exams and study</w:t>
            </w:r>
          </w:p>
        </w:tc>
        <w:tc>
          <w:tcPr>
            <w:tcW w:w="0" w:type="auto"/>
            <w:shd w:val="clear" w:color="auto" w:fill="auto"/>
            <w:tcMar>
              <w:top w:w="15" w:type="dxa"/>
              <w:left w:w="15" w:type="dxa"/>
              <w:bottom w:w="0" w:type="dxa"/>
              <w:right w:w="15" w:type="dxa"/>
            </w:tcMar>
            <w:hideMark/>
          </w:tcPr>
          <w:p w14:paraId="1892419E"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0,135***</w:t>
            </w:r>
          </w:p>
        </w:tc>
        <w:tc>
          <w:tcPr>
            <w:tcW w:w="1614" w:type="dxa"/>
            <w:shd w:val="clear" w:color="auto" w:fill="auto"/>
            <w:tcMar>
              <w:top w:w="15" w:type="dxa"/>
              <w:left w:w="15" w:type="dxa"/>
              <w:bottom w:w="0" w:type="dxa"/>
              <w:right w:w="15" w:type="dxa"/>
            </w:tcMar>
            <w:hideMark/>
          </w:tcPr>
          <w:p w14:paraId="3DEC0392"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0,049</w:t>
            </w:r>
          </w:p>
        </w:tc>
        <w:tc>
          <w:tcPr>
            <w:tcW w:w="1206" w:type="dxa"/>
            <w:shd w:val="clear" w:color="auto" w:fill="auto"/>
            <w:tcMar>
              <w:top w:w="15" w:type="dxa"/>
              <w:left w:w="15" w:type="dxa"/>
              <w:bottom w:w="0" w:type="dxa"/>
              <w:right w:w="15" w:type="dxa"/>
            </w:tcMar>
            <w:hideMark/>
          </w:tcPr>
          <w:p w14:paraId="2251C238"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2,758</w:t>
            </w:r>
          </w:p>
        </w:tc>
        <w:tc>
          <w:tcPr>
            <w:tcW w:w="1283" w:type="dxa"/>
            <w:shd w:val="clear" w:color="auto" w:fill="auto"/>
            <w:tcMar>
              <w:top w:w="15" w:type="dxa"/>
              <w:left w:w="15" w:type="dxa"/>
              <w:bottom w:w="0" w:type="dxa"/>
              <w:right w:w="15" w:type="dxa"/>
            </w:tcMar>
            <w:hideMark/>
          </w:tcPr>
          <w:p w14:paraId="3594B171"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0,006</w:t>
            </w:r>
          </w:p>
        </w:tc>
      </w:tr>
      <w:tr w:rsidR="0076715E" w:rsidRPr="0076715E" w14:paraId="4D3D6912" w14:textId="77777777" w:rsidTr="00F35B58">
        <w:trPr>
          <w:trHeight w:val="249"/>
          <w:jc w:val="center"/>
        </w:trPr>
        <w:tc>
          <w:tcPr>
            <w:tcW w:w="0" w:type="auto"/>
            <w:shd w:val="clear" w:color="auto" w:fill="auto"/>
            <w:tcMar>
              <w:top w:w="15" w:type="dxa"/>
              <w:left w:w="15" w:type="dxa"/>
              <w:bottom w:w="0" w:type="dxa"/>
              <w:right w:w="15" w:type="dxa"/>
            </w:tcMar>
            <w:hideMark/>
          </w:tcPr>
          <w:p w14:paraId="44E3A29E" w14:textId="77777777" w:rsidR="0076715E" w:rsidRPr="0076715E" w:rsidRDefault="0076715E" w:rsidP="0076715E">
            <w:pPr>
              <w:spacing w:after="0"/>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Motivation</w:t>
            </w:r>
          </w:p>
        </w:tc>
        <w:tc>
          <w:tcPr>
            <w:tcW w:w="0" w:type="auto"/>
            <w:shd w:val="clear" w:color="auto" w:fill="auto"/>
            <w:tcMar>
              <w:top w:w="15" w:type="dxa"/>
              <w:left w:w="15" w:type="dxa"/>
              <w:bottom w:w="0" w:type="dxa"/>
              <w:right w:w="15" w:type="dxa"/>
            </w:tcMar>
            <w:hideMark/>
          </w:tcPr>
          <w:p w14:paraId="6BE25A44"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0,080*</w:t>
            </w:r>
          </w:p>
        </w:tc>
        <w:tc>
          <w:tcPr>
            <w:tcW w:w="1614" w:type="dxa"/>
            <w:shd w:val="clear" w:color="auto" w:fill="auto"/>
            <w:tcMar>
              <w:top w:w="15" w:type="dxa"/>
              <w:left w:w="15" w:type="dxa"/>
              <w:bottom w:w="0" w:type="dxa"/>
              <w:right w:w="15" w:type="dxa"/>
            </w:tcMar>
            <w:hideMark/>
          </w:tcPr>
          <w:p w14:paraId="65ADDEDB"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0,048</w:t>
            </w:r>
          </w:p>
        </w:tc>
        <w:tc>
          <w:tcPr>
            <w:tcW w:w="1206" w:type="dxa"/>
            <w:shd w:val="clear" w:color="auto" w:fill="auto"/>
            <w:tcMar>
              <w:top w:w="15" w:type="dxa"/>
              <w:left w:w="15" w:type="dxa"/>
              <w:bottom w:w="0" w:type="dxa"/>
              <w:right w:w="15" w:type="dxa"/>
            </w:tcMar>
            <w:hideMark/>
          </w:tcPr>
          <w:p w14:paraId="5A4B7703"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1,675</w:t>
            </w:r>
          </w:p>
        </w:tc>
        <w:tc>
          <w:tcPr>
            <w:tcW w:w="1283" w:type="dxa"/>
            <w:shd w:val="clear" w:color="auto" w:fill="auto"/>
            <w:tcMar>
              <w:top w:w="15" w:type="dxa"/>
              <w:left w:w="15" w:type="dxa"/>
              <w:bottom w:w="0" w:type="dxa"/>
              <w:right w:w="15" w:type="dxa"/>
            </w:tcMar>
            <w:hideMark/>
          </w:tcPr>
          <w:p w14:paraId="1C2186CF" w14:textId="77777777" w:rsidR="0076715E" w:rsidRPr="0076715E" w:rsidRDefault="0076715E" w:rsidP="0076715E">
            <w:pPr>
              <w:spacing w:after="0"/>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bCs/>
                <w:color w:val="222222"/>
                <w:sz w:val="24"/>
                <w:szCs w:val="24"/>
                <w:lang w:val="en-GB" w:eastAsia="sq-AL"/>
              </w:rPr>
              <w:t>0,095</w:t>
            </w:r>
          </w:p>
        </w:tc>
      </w:tr>
    </w:tbl>
    <w:p w14:paraId="47F4C862" w14:textId="77777777" w:rsidR="0076715E" w:rsidRPr="0076715E" w:rsidRDefault="0076715E" w:rsidP="0076715E">
      <w:pPr>
        <w:spacing w:after="0" w:line="240" w:lineRule="auto"/>
        <w:jc w:val="center"/>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 Significant at the 0.1 level; ** significant at the 0.05 level; *** significant at the 0.01 level.</w:t>
      </w:r>
    </w:p>
    <w:p w14:paraId="14B82036" w14:textId="77777777" w:rsidR="0076715E" w:rsidRPr="0076715E" w:rsidRDefault="0076715E" w:rsidP="0076715E">
      <w:pPr>
        <w:shd w:val="clear" w:color="auto" w:fill="FFFFFF"/>
        <w:spacing w:after="100" w:afterAutospacing="1" w:line="276" w:lineRule="auto"/>
        <w:jc w:val="both"/>
        <w:rPr>
          <w:rFonts w:ascii="Times New Roman" w:eastAsia="Times New Roman" w:hAnsi="Times New Roman" w:cs="Times New Roman"/>
          <w:i/>
          <w:iCs/>
          <w:color w:val="222222"/>
          <w:sz w:val="20"/>
          <w:szCs w:val="20"/>
          <w:lang w:val="en-GB" w:eastAsia="sq-AL"/>
        </w:rPr>
      </w:pPr>
      <w:r w:rsidRPr="0076715E">
        <w:rPr>
          <w:rFonts w:ascii="Times New Roman" w:eastAsia="Times New Roman" w:hAnsi="Times New Roman" w:cs="Times New Roman"/>
          <w:i/>
          <w:iCs/>
          <w:color w:val="222222"/>
          <w:sz w:val="20"/>
          <w:szCs w:val="20"/>
          <w:lang w:val="en-GB" w:eastAsia="sq-AL"/>
        </w:rPr>
        <w:t>Source: Authors own elaboration</w:t>
      </w:r>
    </w:p>
    <w:p w14:paraId="76B86B77" w14:textId="77777777" w:rsidR="0076715E" w:rsidRPr="0076715E" w:rsidRDefault="0076715E" w:rsidP="0076715E">
      <w:pPr>
        <w:shd w:val="clear" w:color="auto" w:fill="FFFFFF"/>
        <w:spacing w:after="0" w:line="276" w:lineRule="auto"/>
        <w:jc w:val="both"/>
        <w:rPr>
          <w:rFonts w:ascii="Times New Roman" w:eastAsia="Times New Roman" w:hAnsi="Times New Roman" w:cs="Times New Roman"/>
          <w:color w:val="222222"/>
          <w:sz w:val="24"/>
          <w:szCs w:val="24"/>
          <w:lang w:val="en-GB" w:eastAsia="sq-AL"/>
        </w:rPr>
      </w:pPr>
    </w:p>
    <w:p w14:paraId="1BFFA8BF"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In order to control for the multicollinearity problems, correlative analysis was used to assess its dependence on academic performance.  Approximately, 23.1 % of students work full time during their studies while 32.7 percent had worked part time. The impact of employment on academic performance proved to be significant. The more engaged the student was in work activities during his studies, the lower his academic results (r = -0.117, sig = 0.009).</w:t>
      </w:r>
    </w:p>
    <w:p w14:paraId="39F96C3F" w14:textId="77777777" w:rsidR="0076715E" w:rsidRPr="0076715E" w:rsidRDefault="0076715E" w:rsidP="0076715E">
      <w:pPr>
        <w:shd w:val="clear" w:color="auto" w:fill="FFFFFF"/>
        <w:spacing w:after="0" w:line="276" w:lineRule="auto"/>
        <w:jc w:val="both"/>
        <w:rPr>
          <w:rFonts w:ascii="Times New Roman" w:eastAsia="Calibri" w:hAnsi="Times New Roman" w:cs="Times New Roman"/>
          <w:sz w:val="24"/>
          <w:szCs w:val="24"/>
          <w:lang w:val="en-GB"/>
        </w:rPr>
      </w:pPr>
      <w:r w:rsidRPr="0076715E">
        <w:rPr>
          <w:rFonts w:ascii="Times New Roman" w:eastAsia="Calibri" w:hAnsi="Times New Roman" w:cs="Times New Roman"/>
          <w:sz w:val="24"/>
          <w:szCs w:val="24"/>
          <w:lang w:val="en-GB"/>
        </w:rPr>
        <w:t xml:space="preserve">Table </w:t>
      </w:r>
      <w:r w:rsidRPr="0076715E">
        <w:rPr>
          <w:rFonts w:ascii="Times New Roman" w:eastAsia="Calibri" w:hAnsi="Times New Roman" w:cs="Times New Roman"/>
          <w:sz w:val="24"/>
          <w:szCs w:val="24"/>
          <w:lang w:val="en-GB"/>
        </w:rPr>
        <w:fldChar w:fldCharType="begin"/>
      </w:r>
      <w:r w:rsidRPr="0076715E">
        <w:rPr>
          <w:rFonts w:ascii="Times New Roman" w:eastAsia="Calibri" w:hAnsi="Times New Roman" w:cs="Times New Roman"/>
          <w:sz w:val="24"/>
          <w:szCs w:val="24"/>
          <w:lang w:val="en-GB"/>
        </w:rPr>
        <w:instrText xml:space="preserve"> SEQ Table \* ARABIC </w:instrText>
      </w:r>
      <w:r w:rsidRPr="0076715E">
        <w:rPr>
          <w:rFonts w:ascii="Times New Roman" w:eastAsia="Calibri" w:hAnsi="Times New Roman" w:cs="Times New Roman"/>
          <w:sz w:val="24"/>
          <w:szCs w:val="24"/>
          <w:lang w:val="en-GB"/>
        </w:rPr>
        <w:fldChar w:fldCharType="separate"/>
      </w:r>
      <w:r w:rsidRPr="0076715E">
        <w:rPr>
          <w:rFonts w:ascii="Times New Roman" w:eastAsia="Calibri" w:hAnsi="Times New Roman" w:cs="Times New Roman"/>
          <w:noProof/>
          <w:sz w:val="24"/>
          <w:szCs w:val="24"/>
          <w:lang w:val="en-GB"/>
        </w:rPr>
        <w:t>5</w:t>
      </w:r>
      <w:r w:rsidRPr="0076715E">
        <w:rPr>
          <w:rFonts w:ascii="Times New Roman" w:eastAsia="Calibri" w:hAnsi="Times New Roman" w:cs="Times New Roman"/>
          <w:sz w:val="24"/>
          <w:szCs w:val="24"/>
          <w:lang w:val="en-GB"/>
        </w:rPr>
        <w:fldChar w:fldCharType="end"/>
      </w:r>
      <w:r w:rsidRPr="0076715E">
        <w:rPr>
          <w:rFonts w:ascii="Times New Roman" w:eastAsia="Calibri" w:hAnsi="Times New Roman" w:cs="Times New Roman"/>
          <w:sz w:val="24"/>
          <w:szCs w:val="24"/>
          <w:lang w:val="en-GB"/>
        </w:rPr>
        <w:t xml:space="preserve">: </w:t>
      </w:r>
      <w:r w:rsidRPr="0076715E">
        <w:rPr>
          <w:rFonts w:ascii="Times New Roman" w:eastAsia="Times New Roman" w:hAnsi="Times New Roman" w:cs="Times New Roman"/>
          <w:sz w:val="24"/>
          <w:szCs w:val="24"/>
          <w:lang w:val="en-GB" w:eastAsia="sq-AL"/>
        </w:rPr>
        <w:t>R</w:t>
      </w:r>
      <w:r w:rsidRPr="0076715E">
        <w:rPr>
          <w:rFonts w:ascii="Times New Roman" w:eastAsia="Calibri" w:hAnsi="Times New Roman" w:cs="Times New Roman"/>
          <w:sz w:val="24"/>
          <w:szCs w:val="24"/>
          <w:lang w:val="en-GB"/>
        </w:rPr>
        <w:t xml:space="preserve">esults of the correlation analyses between GPA and engagement in the </w:t>
      </w:r>
      <w:proofErr w:type="spellStart"/>
      <w:r w:rsidRPr="0076715E">
        <w:rPr>
          <w:rFonts w:ascii="Times New Roman" w:eastAsia="Calibri" w:hAnsi="Times New Roman" w:cs="Times New Roman"/>
          <w:sz w:val="24"/>
          <w:szCs w:val="24"/>
          <w:lang w:val="en-GB"/>
        </w:rPr>
        <w:t>labor</w:t>
      </w:r>
      <w:proofErr w:type="spellEnd"/>
      <w:r w:rsidRPr="0076715E">
        <w:rPr>
          <w:rFonts w:ascii="Times New Roman" w:eastAsia="Calibri" w:hAnsi="Times New Roman" w:cs="Times New Roman"/>
          <w:sz w:val="24"/>
          <w:szCs w:val="24"/>
          <w:lang w:val="en-GB"/>
        </w:rPr>
        <w:t xml:space="preserve"> market during studies</w:t>
      </w:r>
    </w:p>
    <w:tbl>
      <w:tblPr>
        <w:tblW w:w="7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1"/>
        <w:gridCol w:w="2309"/>
        <w:gridCol w:w="3198"/>
      </w:tblGrid>
      <w:tr w:rsidR="0076715E" w:rsidRPr="0076715E" w14:paraId="045858F6" w14:textId="77777777" w:rsidTr="00F35B58">
        <w:trPr>
          <w:cantSplit/>
          <w:trHeight w:val="511"/>
        </w:trPr>
        <w:tc>
          <w:tcPr>
            <w:tcW w:w="4320" w:type="dxa"/>
            <w:gridSpan w:val="2"/>
            <w:shd w:val="clear" w:color="auto" w:fill="auto"/>
            <w:vAlign w:val="bottom"/>
          </w:tcPr>
          <w:p w14:paraId="30BA83F4" w14:textId="77777777" w:rsidR="0076715E" w:rsidRPr="0076715E" w:rsidRDefault="0076715E" w:rsidP="0076715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3198" w:type="dxa"/>
            <w:shd w:val="clear" w:color="auto" w:fill="auto"/>
            <w:vAlign w:val="bottom"/>
          </w:tcPr>
          <w:p w14:paraId="7E650406" w14:textId="77777777" w:rsidR="0076715E" w:rsidRPr="0076715E" w:rsidRDefault="0076715E" w:rsidP="0076715E">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lang w:val="en-GB"/>
              </w:rPr>
            </w:pPr>
            <w:r w:rsidRPr="0076715E">
              <w:rPr>
                <w:rFonts w:ascii="Times New Roman" w:eastAsia="Calibri" w:hAnsi="Times New Roman" w:cs="Times New Roman"/>
                <w:color w:val="000000"/>
                <w:sz w:val="24"/>
                <w:szCs w:val="24"/>
                <w:lang w:val="en-GB"/>
              </w:rPr>
              <w:t>Working activity during studies</w:t>
            </w:r>
          </w:p>
        </w:tc>
      </w:tr>
      <w:tr w:rsidR="0076715E" w:rsidRPr="0076715E" w14:paraId="68238AB1" w14:textId="77777777" w:rsidTr="00F35B58">
        <w:trPr>
          <w:cantSplit/>
          <w:trHeight w:val="126"/>
        </w:trPr>
        <w:tc>
          <w:tcPr>
            <w:tcW w:w="2011" w:type="dxa"/>
            <w:vMerge w:val="restart"/>
            <w:shd w:val="clear" w:color="auto" w:fill="auto"/>
          </w:tcPr>
          <w:p w14:paraId="4C5995BB" w14:textId="77777777" w:rsidR="0076715E" w:rsidRPr="0076715E" w:rsidRDefault="0076715E" w:rsidP="0076715E">
            <w:pPr>
              <w:autoSpaceDE w:val="0"/>
              <w:autoSpaceDN w:val="0"/>
              <w:adjustRightInd w:val="0"/>
              <w:spacing w:after="0" w:line="320" w:lineRule="atLeast"/>
              <w:ind w:left="60" w:right="60"/>
              <w:rPr>
                <w:rFonts w:ascii="Times New Roman" w:eastAsia="Calibri" w:hAnsi="Times New Roman" w:cs="Times New Roman"/>
                <w:color w:val="000000"/>
                <w:sz w:val="24"/>
                <w:szCs w:val="24"/>
                <w:lang w:val="en-GB"/>
              </w:rPr>
            </w:pPr>
            <w:r w:rsidRPr="0076715E">
              <w:rPr>
                <w:rFonts w:ascii="Times New Roman" w:eastAsia="Times New Roman" w:hAnsi="Times New Roman" w:cs="Times New Roman"/>
                <w:color w:val="000000"/>
                <w:lang w:val="en-GB" w:eastAsia="sq-AL"/>
              </w:rPr>
              <w:t>University GPA</w:t>
            </w:r>
          </w:p>
        </w:tc>
        <w:tc>
          <w:tcPr>
            <w:tcW w:w="2309" w:type="dxa"/>
            <w:shd w:val="clear" w:color="auto" w:fill="auto"/>
          </w:tcPr>
          <w:p w14:paraId="23D201E6" w14:textId="77777777" w:rsidR="0076715E" w:rsidRPr="0076715E" w:rsidRDefault="0076715E" w:rsidP="0076715E">
            <w:pPr>
              <w:autoSpaceDE w:val="0"/>
              <w:autoSpaceDN w:val="0"/>
              <w:adjustRightInd w:val="0"/>
              <w:spacing w:after="0" w:line="320" w:lineRule="atLeast"/>
              <w:ind w:left="60" w:right="60"/>
              <w:rPr>
                <w:rFonts w:ascii="Times New Roman" w:eastAsia="Calibri" w:hAnsi="Times New Roman" w:cs="Times New Roman"/>
                <w:color w:val="000000"/>
                <w:sz w:val="24"/>
                <w:szCs w:val="24"/>
                <w:lang w:val="en-GB"/>
              </w:rPr>
            </w:pPr>
            <w:r w:rsidRPr="0076715E">
              <w:rPr>
                <w:rFonts w:ascii="Times New Roman" w:eastAsia="Calibri" w:hAnsi="Times New Roman" w:cs="Times New Roman"/>
                <w:color w:val="000000"/>
                <w:sz w:val="24"/>
                <w:szCs w:val="24"/>
                <w:lang w:val="en-GB"/>
              </w:rPr>
              <w:t>Pearson Correlation</w:t>
            </w:r>
          </w:p>
        </w:tc>
        <w:tc>
          <w:tcPr>
            <w:tcW w:w="3198" w:type="dxa"/>
            <w:shd w:val="clear" w:color="auto" w:fill="auto"/>
          </w:tcPr>
          <w:p w14:paraId="4A9F9BA9" w14:textId="77777777" w:rsidR="0076715E" w:rsidRPr="0076715E" w:rsidRDefault="0076715E" w:rsidP="0076715E">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lang w:val="en-GB"/>
              </w:rPr>
            </w:pPr>
            <w:r w:rsidRPr="0076715E">
              <w:rPr>
                <w:rFonts w:ascii="Times New Roman" w:eastAsia="Calibri" w:hAnsi="Times New Roman" w:cs="Times New Roman"/>
                <w:color w:val="000000"/>
                <w:sz w:val="24"/>
                <w:szCs w:val="24"/>
                <w:lang w:val="en-GB"/>
              </w:rPr>
              <w:t>-,117</w:t>
            </w:r>
            <w:r w:rsidRPr="0076715E">
              <w:rPr>
                <w:rFonts w:ascii="Times New Roman" w:eastAsia="Calibri" w:hAnsi="Times New Roman" w:cs="Times New Roman"/>
                <w:color w:val="000000"/>
                <w:sz w:val="24"/>
                <w:szCs w:val="24"/>
                <w:vertAlign w:val="superscript"/>
                <w:lang w:val="en-GB"/>
              </w:rPr>
              <w:t>**</w:t>
            </w:r>
          </w:p>
        </w:tc>
      </w:tr>
      <w:tr w:rsidR="0076715E" w:rsidRPr="0076715E" w14:paraId="310B3DE6" w14:textId="77777777" w:rsidTr="00F35B58">
        <w:trPr>
          <w:cantSplit/>
          <w:trHeight w:val="131"/>
        </w:trPr>
        <w:tc>
          <w:tcPr>
            <w:tcW w:w="2011" w:type="dxa"/>
            <w:vMerge/>
            <w:shd w:val="clear" w:color="auto" w:fill="auto"/>
          </w:tcPr>
          <w:p w14:paraId="368CA282" w14:textId="77777777" w:rsidR="0076715E" w:rsidRPr="0076715E" w:rsidRDefault="0076715E" w:rsidP="0076715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2309" w:type="dxa"/>
            <w:shd w:val="clear" w:color="auto" w:fill="auto"/>
          </w:tcPr>
          <w:p w14:paraId="4C4338E1" w14:textId="77777777" w:rsidR="0076715E" w:rsidRPr="0076715E" w:rsidRDefault="0076715E" w:rsidP="0076715E">
            <w:pPr>
              <w:autoSpaceDE w:val="0"/>
              <w:autoSpaceDN w:val="0"/>
              <w:adjustRightInd w:val="0"/>
              <w:spacing w:after="0" w:line="320" w:lineRule="atLeast"/>
              <w:ind w:left="60" w:right="60"/>
              <w:rPr>
                <w:rFonts w:ascii="Times New Roman" w:eastAsia="Calibri" w:hAnsi="Times New Roman" w:cs="Times New Roman"/>
                <w:color w:val="000000"/>
                <w:sz w:val="24"/>
                <w:szCs w:val="24"/>
                <w:lang w:val="en-GB"/>
              </w:rPr>
            </w:pPr>
            <w:r w:rsidRPr="0076715E">
              <w:rPr>
                <w:rFonts w:ascii="Times New Roman" w:eastAsia="Calibri" w:hAnsi="Times New Roman" w:cs="Times New Roman"/>
                <w:color w:val="000000"/>
                <w:sz w:val="24"/>
                <w:szCs w:val="24"/>
                <w:lang w:val="en-GB"/>
              </w:rPr>
              <w:t>Sig. (2-tailed)</w:t>
            </w:r>
          </w:p>
        </w:tc>
        <w:tc>
          <w:tcPr>
            <w:tcW w:w="3198" w:type="dxa"/>
            <w:shd w:val="clear" w:color="auto" w:fill="auto"/>
          </w:tcPr>
          <w:p w14:paraId="49E9FFE8" w14:textId="77777777" w:rsidR="0076715E" w:rsidRPr="0076715E" w:rsidRDefault="0076715E" w:rsidP="0076715E">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lang w:val="en-GB"/>
              </w:rPr>
            </w:pPr>
            <w:r w:rsidRPr="0076715E">
              <w:rPr>
                <w:rFonts w:ascii="Times New Roman" w:eastAsia="Calibri" w:hAnsi="Times New Roman" w:cs="Times New Roman"/>
                <w:color w:val="000000"/>
                <w:sz w:val="24"/>
                <w:szCs w:val="24"/>
                <w:lang w:val="en-GB"/>
              </w:rPr>
              <w:t>,009</w:t>
            </w:r>
          </w:p>
        </w:tc>
      </w:tr>
      <w:tr w:rsidR="0076715E" w:rsidRPr="0076715E" w14:paraId="3013C524" w14:textId="77777777" w:rsidTr="00F35B58">
        <w:trPr>
          <w:cantSplit/>
          <w:trHeight w:val="131"/>
        </w:trPr>
        <w:tc>
          <w:tcPr>
            <w:tcW w:w="2011" w:type="dxa"/>
            <w:vMerge/>
            <w:shd w:val="clear" w:color="auto" w:fill="auto"/>
          </w:tcPr>
          <w:p w14:paraId="1752797F" w14:textId="77777777" w:rsidR="0076715E" w:rsidRPr="0076715E" w:rsidRDefault="0076715E" w:rsidP="0076715E">
            <w:pPr>
              <w:autoSpaceDE w:val="0"/>
              <w:autoSpaceDN w:val="0"/>
              <w:adjustRightInd w:val="0"/>
              <w:spacing w:after="0" w:line="240" w:lineRule="auto"/>
              <w:rPr>
                <w:rFonts w:ascii="Times New Roman" w:eastAsia="Calibri" w:hAnsi="Times New Roman" w:cs="Times New Roman"/>
                <w:color w:val="000000"/>
                <w:sz w:val="24"/>
                <w:szCs w:val="24"/>
                <w:lang w:val="en-GB"/>
              </w:rPr>
            </w:pPr>
          </w:p>
        </w:tc>
        <w:tc>
          <w:tcPr>
            <w:tcW w:w="2309" w:type="dxa"/>
            <w:shd w:val="clear" w:color="auto" w:fill="auto"/>
          </w:tcPr>
          <w:p w14:paraId="520BC7EA" w14:textId="77777777" w:rsidR="0076715E" w:rsidRPr="0076715E" w:rsidRDefault="0076715E" w:rsidP="0076715E">
            <w:pPr>
              <w:autoSpaceDE w:val="0"/>
              <w:autoSpaceDN w:val="0"/>
              <w:adjustRightInd w:val="0"/>
              <w:spacing w:after="0" w:line="320" w:lineRule="atLeast"/>
              <w:ind w:left="60" w:right="60"/>
              <w:rPr>
                <w:rFonts w:ascii="Times New Roman" w:eastAsia="Calibri" w:hAnsi="Times New Roman" w:cs="Times New Roman"/>
                <w:color w:val="000000"/>
                <w:sz w:val="24"/>
                <w:szCs w:val="24"/>
                <w:lang w:val="en-GB"/>
              </w:rPr>
            </w:pPr>
            <w:r w:rsidRPr="0076715E">
              <w:rPr>
                <w:rFonts w:ascii="Times New Roman" w:eastAsia="Calibri" w:hAnsi="Times New Roman" w:cs="Times New Roman"/>
                <w:color w:val="000000"/>
                <w:sz w:val="24"/>
                <w:szCs w:val="24"/>
                <w:lang w:val="en-GB"/>
              </w:rPr>
              <w:t>N</w:t>
            </w:r>
          </w:p>
        </w:tc>
        <w:tc>
          <w:tcPr>
            <w:tcW w:w="3198" w:type="dxa"/>
            <w:shd w:val="clear" w:color="auto" w:fill="auto"/>
          </w:tcPr>
          <w:p w14:paraId="2901407D" w14:textId="77777777" w:rsidR="0076715E" w:rsidRPr="0076715E" w:rsidRDefault="0076715E" w:rsidP="0076715E">
            <w:pPr>
              <w:autoSpaceDE w:val="0"/>
              <w:autoSpaceDN w:val="0"/>
              <w:adjustRightInd w:val="0"/>
              <w:spacing w:after="0" w:line="320" w:lineRule="atLeast"/>
              <w:ind w:left="60" w:right="60"/>
              <w:jc w:val="right"/>
              <w:rPr>
                <w:rFonts w:ascii="Times New Roman" w:eastAsia="Calibri" w:hAnsi="Times New Roman" w:cs="Times New Roman"/>
                <w:color w:val="000000"/>
                <w:sz w:val="24"/>
                <w:szCs w:val="24"/>
                <w:lang w:val="en-GB"/>
              </w:rPr>
            </w:pPr>
            <w:r w:rsidRPr="0076715E">
              <w:rPr>
                <w:rFonts w:ascii="Times New Roman" w:eastAsia="Calibri" w:hAnsi="Times New Roman" w:cs="Times New Roman"/>
                <w:color w:val="000000"/>
                <w:sz w:val="24"/>
                <w:szCs w:val="24"/>
                <w:lang w:val="en-GB"/>
              </w:rPr>
              <w:t>498</w:t>
            </w:r>
          </w:p>
        </w:tc>
      </w:tr>
    </w:tbl>
    <w:p w14:paraId="017EC5BB" w14:textId="31EF15DC" w:rsidR="0076715E" w:rsidRDefault="0076715E" w:rsidP="0076715E">
      <w:pPr>
        <w:shd w:val="clear" w:color="auto" w:fill="FFFFFF"/>
        <w:spacing w:after="100" w:afterAutospacing="1" w:line="276" w:lineRule="auto"/>
        <w:jc w:val="both"/>
        <w:rPr>
          <w:rFonts w:ascii="Times New Roman" w:eastAsia="Times New Roman" w:hAnsi="Times New Roman" w:cs="Times New Roman"/>
          <w:i/>
          <w:iCs/>
          <w:color w:val="222222"/>
          <w:sz w:val="20"/>
          <w:szCs w:val="20"/>
          <w:lang w:val="en-GB" w:eastAsia="sq-AL"/>
        </w:rPr>
      </w:pPr>
      <w:r w:rsidRPr="0076715E">
        <w:rPr>
          <w:rFonts w:ascii="Times New Roman" w:eastAsia="Times New Roman" w:hAnsi="Times New Roman" w:cs="Times New Roman"/>
          <w:i/>
          <w:iCs/>
          <w:color w:val="222222"/>
          <w:sz w:val="20"/>
          <w:szCs w:val="20"/>
          <w:lang w:val="en-GB" w:eastAsia="sq-AL"/>
        </w:rPr>
        <w:t>Source: Authors own elaboration</w:t>
      </w:r>
    </w:p>
    <w:p w14:paraId="3C265743" w14:textId="77777777" w:rsidR="00626499" w:rsidRPr="0076715E" w:rsidRDefault="00626499" w:rsidP="0076715E">
      <w:pPr>
        <w:shd w:val="clear" w:color="auto" w:fill="FFFFFF"/>
        <w:spacing w:after="100" w:afterAutospacing="1" w:line="276" w:lineRule="auto"/>
        <w:jc w:val="both"/>
        <w:rPr>
          <w:rFonts w:ascii="Times New Roman" w:eastAsia="Times New Roman" w:hAnsi="Times New Roman" w:cs="Times New Roman"/>
          <w:i/>
          <w:iCs/>
          <w:color w:val="222222"/>
          <w:sz w:val="20"/>
          <w:szCs w:val="20"/>
          <w:lang w:val="en-GB" w:eastAsia="sq-AL"/>
        </w:rPr>
      </w:pPr>
    </w:p>
    <w:p w14:paraId="77744DA1" w14:textId="4C2C6A4B" w:rsidR="0076715E" w:rsidRPr="00C603A7" w:rsidRDefault="0076715E" w:rsidP="009E757A">
      <w:pPr>
        <w:pStyle w:val="ListParagraph"/>
        <w:numPr>
          <w:ilvl w:val="0"/>
          <w:numId w:val="4"/>
        </w:numPr>
        <w:rPr>
          <w:rFonts w:ascii="Times New Roman" w:hAnsi="Times New Roman" w:cs="Times New Roman"/>
          <w:b/>
          <w:color w:val="222222"/>
          <w:sz w:val="28"/>
          <w:szCs w:val="28"/>
          <w:lang w:eastAsia="sq-AL"/>
        </w:rPr>
      </w:pPr>
      <w:r w:rsidRPr="00C603A7">
        <w:rPr>
          <w:rFonts w:ascii="Times New Roman" w:hAnsi="Times New Roman" w:cs="Times New Roman"/>
          <w:b/>
          <w:color w:val="222222"/>
          <w:sz w:val="28"/>
          <w:szCs w:val="28"/>
          <w:lang w:eastAsia="sq-AL"/>
        </w:rPr>
        <w:t>Conclusions</w:t>
      </w:r>
    </w:p>
    <w:p w14:paraId="43D30A42" w14:textId="77777777" w:rsidR="0076715E" w:rsidRPr="0076715E" w:rsidRDefault="0076715E" w:rsidP="0076715E">
      <w:pPr>
        <w:spacing w:before="120" w:after="12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Calibri" w:hAnsi="Times New Roman" w:cs="Times New Roman"/>
          <w:sz w:val="24"/>
          <w:szCs w:val="24"/>
          <w:lang w:val="en-GB"/>
        </w:rPr>
        <w:t xml:space="preserve">Increasing the quality of teaching and obtaining a better learning outcome/result is a very important priority for higher education institutions. The student’s performance during his/her academic activity is influenced by many social and economic factors but also by other indicators that are related to the role of the higher education institution where students are enrolled. Many researchers highlight different factors in different countries, mostly related to the performance of the student in the past, their socioeconomic background and their current performance in the University. This paper aims to fill this gap by studying the factors that affect student performance in Albania focusing on the Agricultural University of Tirana. The analysis is based on data collected from the </w:t>
      </w:r>
      <w:r w:rsidRPr="0076715E">
        <w:rPr>
          <w:rFonts w:ascii="Times New Roman" w:eastAsia="Calibri" w:hAnsi="Times New Roman" w:cs="Times New Roman"/>
          <w:sz w:val="24"/>
          <w:szCs w:val="24"/>
          <w:lang w:val="en-GB"/>
        </w:rPr>
        <w:lastRenderedPageBreak/>
        <w:t>GRADUA platform (which provides a new and unique database on students’ performance and career expectations) as well as administrative data obtained at the Agricultural University of Tirana.</w:t>
      </w:r>
    </w:p>
    <w:p w14:paraId="123D533B" w14:textId="77777777" w:rsidR="0076715E" w:rsidRPr="0076715E" w:rsidRDefault="0076715E" w:rsidP="0076715E">
      <w:pPr>
        <w:spacing w:before="120" w:after="12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Results show that experienced high school average, but also on gender, attendance rate, motivation for choosing the study program and the adequacy of exam materials and exam organization also with significant impact on student performance. Female students turn out to perform better than male students. It was also noted that parental education and family income did not have a significant impact on the academic achievement of students at the Agricultural University of Tirana. The degree of satisfaction with the study program did not result in a significant impact on academic performance.</w:t>
      </w:r>
    </w:p>
    <w:p w14:paraId="55AEBC53" w14:textId="22257B42" w:rsidR="0076715E" w:rsidRPr="0076715E" w:rsidRDefault="0076715E" w:rsidP="0076715E">
      <w:pPr>
        <w:spacing w:before="120" w:after="120" w:line="276" w:lineRule="auto"/>
        <w:jc w:val="both"/>
        <w:rPr>
          <w:rFonts w:ascii="Times New Roman" w:eastAsia="Calibri" w:hAnsi="Times New Roman" w:cs="Times New Roman"/>
          <w:bCs/>
          <w:color w:val="222222"/>
          <w:sz w:val="24"/>
          <w:szCs w:val="24"/>
          <w:lang w:val="en-GB"/>
        </w:rPr>
      </w:pPr>
      <w:r w:rsidRPr="0076715E">
        <w:rPr>
          <w:rFonts w:ascii="Times New Roman" w:eastAsia="Calibri" w:hAnsi="Times New Roman" w:cs="Times New Roman"/>
          <w:color w:val="222222"/>
          <w:sz w:val="24"/>
          <w:szCs w:val="24"/>
          <w:lang w:val="en-GB"/>
        </w:rPr>
        <w:t>R</w:t>
      </w:r>
      <w:r w:rsidRPr="0076715E">
        <w:rPr>
          <w:rFonts w:ascii="Times New Roman" w:eastAsia="Calibri" w:hAnsi="Times New Roman" w:cs="Times New Roman"/>
          <w:bCs/>
          <w:color w:val="222222"/>
          <w:sz w:val="24"/>
          <w:szCs w:val="24"/>
          <w:lang w:val="en-GB"/>
        </w:rPr>
        <w:t xml:space="preserve">esults suggest that each university </w:t>
      </w:r>
      <w:proofErr w:type="spellStart"/>
      <w:r w:rsidR="008C093D">
        <w:rPr>
          <w:rFonts w:ascii="Times New Roman" w:eastAsia="Calibri" w:hAnsi="Times New Roman" w:cs="Times New Roman"/>
          <w:bCs/>
          <w:color w:val="222222"/>
          <w:sz w:val="24"/>
          <w:szCs w:val="24"/>
          <w:lang w:val="en-GB"/>
        </w:rPr>
        <w:t>center</w:t>
      </w:r>
      <w:proofErr w:type="spellEnd"/>
      <w:r w:rsidR="008C093D" w:rsidRPr="0076715E">
        <w:rPr>
          <w:rFonts w:ascii="Times New Roman" w:eastAsia="Calibri" w:hAnsi="Times New Roman" w:cs="Times New Roman"/>
          <w:bCs/>
          <w:color w:val="222222"/>
          <w:sz w:val="24"/>
          <w:szCs w:val="24"/>
          <w:lang w:val="en-GB"/>
        </w:rPr>
        <w:t xml:space="preserve"> </w:t>
      </w:r>
      <w:r w:rsidRPr="0076715E">
        <w:rPr>
          <w:rFonts w:ascii="Times New Roman" w:eastAsia="Calibri" w:hAnsi="Times New Roman" w:cs="Times New Roman"/>
          <w:bCs/>
          <w:color w:val="222222"/>
          <w:sz w:val="24"/>
          <w:szCs w:val="24"/>
          <w:lang w:val="en-GB"/>
        </w:rPr>
        <w:t xml:space="preserve">could consider models to elaborate a particular action plan to help students’ efforts in fine tuning their study track and develop their career further. Students can be informed earlier on potential factors influencing their performance and results can also be inserted into the career education curricula. Information provided would bring students attention, especially to those entering in the first year, on what are the type of costs, required capacities and strategies to cope with the load created by the study programme. </w:t>
      </w:r>
    </w:p>
    <w:p w14:paraId="2B7B9757"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Results has also practical added value. Findings help universities to adopt a holistic approach to the school-university process. It seems that class attendance monitoring is beneficial to students’ success. In order to face the current demographic constrains and the high market and financial disturbances created to current generation, the universities should pursue flexible approach for ensuring a smooth path and a successful graduation process. Labour market mismatch should be the core argument for their programming. This way motivation of the student is strengthened in the beginning of the study program, therefore raising the odds for successful performance. In addition, increasing the quality of recruitment for prospective students will make the university study path less challenging. In addition, a holistic and integrated approach at school level during the promotion period, should target especially those regions and type of schools which best match with universities programmes. This can make a difference to learners’ preparedness for university studies and consequently to their further success.</w:t>
      </w:r>
    </w:p>
    <w:p w14:paraId="3F69C09E" w14:textId="77777777" w:rsidR="0076715E" w:rsidRPr="0076715E" w:rsidRDefault="0076715E" w:rsidP="0076715E">
      <w:pPr>
        <w:shd w:val="clear" w:color="auto" w:fill="FFFFFF"/>
        <w:spacing w:before="120" w:after="120" w:line="276" w:lineRule="auto"/>
        <w:jc w:val="both"/>
        <w:rPr>
          <w:rFonts w:ascii="Times New Roman" w:eastAsia="Times New Roman" w:hAnsi="Times New Roman" w:cs="Times New Roman"/>
          <w:color w:val="222222"/>
          <w:sz w:val="24"/>
          <w:szCs w:val="24"/>
          <w:lang w:val="en-GB" w:eastAsia="sq-AL"/>
        </w:rPr>
      </w:pPr>
      <w:r w:rsidRPr="0076715E">
        <w:rPr>
          <w:rFonts w:ascii="Times New Roman" w:eastAsia="Times New Roman" w:hAnsi="Times New Roman" w:cs="Times New Roman"/>
          <w:color w:val="222222"/>
          <w:sz w:val="24"/>
          <w:szCs w:val="24"/>
          <w:lang w:val="en-GB" w:eastAsia="sq-AL"/>
        </w:rPr>
        <w:t xml:space="preserve">The results add value not only to the scientific literature (given the lack of similar studies) but also to policymakers. Since the study analyses only the case of the Agricultural University of Tirana, the results cannot be considered representative for the whole country. Nevertheless, results are useful for orienting other institutions of higher education, given the similarities in the socio-economic context. Other studies should be carried out in the future, using representative samples at the national level. The research should focus more on the school to university transition and explore factors that reduces the barriers being those related to students and parents’ perceptions or those related to information, over a longer time period. </w:t>
      </w:r>
    </w:p>
    <w:p w14:paraId="007D3D37" w14:textId="26CC7AA8" w:rsidR="0076715E" w:rsidRDefault="0076715E" w:rsidP="0076715E">
      <w:pPr>
        <w:shd w:val="clear" w:color="auto" w:fill="FFFFFF"/>
        <w:spacing w:after="100" w:afterAutospacing="1" w:line="276" w:lineRule="auto"/>
        <w:jc w:val="both"/>
        <w:rPr>
          <w:rFonts w:ascii="Times New Roman" w:eastAsia="Times New Roman" w:hAnsi="Times New Roman" w:cs="Times New Roman"/>
          <w:color w:val="222222"/>
          <w:sz w:val="24"/>
          <w:szCs w:val="24"/>
          <w:lang w:val="en-GB" w:eastAsia="sq-AL"/>
        </w:rPr>
      </w:pPr>
    </w:p>
    <w:p w14:paraId="0D8A350F" w14:textId="77777777" w:rsidR="00561FC0" w:rsidRPr="0076715E" w:rsidRDefault="00561FC0" w:rsidP="0076715E">
      <w:pPr>
        <w:shd w:val="clear" w:color="auto" w:fill="FFFFFF"/>
        <w:spacing w:after="100" w:afterAutospacing="1" w:line="276" w:lineRule="auto"/>
        <w:jc w:val="both"/>
        <w:rPr>
          <w:rFonts w:ascii="Times New Roman" w:eastAsia="Times New Roman" w:hAnsi="Times New Roman" w:cs="Times New Roman"/>
          <w:color w:val="222222"/>
          <w:sz w:val="24"/>
          <w:szCs w:val="24"/>
          <w:lang w:val="en-GB" w:eastAsia="sq-AL"/>
        </w:rPr>
      </w:pPr>
    </w:p>
    <w:sdt>
      <w:sdtPr>
        <w:rPr>
          <w:rFonts w:ascii="Calibri" w:eastAsia="Calibri" w:hAnsi="Calibri" w:cstheme="minorBidi"/>
          <w:sz w:val="22"/>
          <w:szCs w:val="22"/>
          <w:lang w:val="en-US"/>
        </w:rPr>
        <w:id w:val="1450511605"/>
        <w:docPartObj>
          <w:docPartGallery w:val="Bibliographies"/>
          <w:docPartUnique/>
        </w:docPartObj>
      </w:sdtPr>
      <w:sdtEndPr>
        <w:rPr>
          <w:rFonts w:cs="Times New Roman"/>
        </w:rPr>
      </w:sdtEndPr>
      <w:sdtContent>
        <w:p w14:paraId="5FA219B5" w14:textId="0B255D7E" w:rsidR="0076715E" w:rsidRPr="00C603A7" w:rsidRDefault="0076715E" w:rsidP="00561FC0">
          <w:pPr>
            <w:pStyle w:val="ListParagraph"/>
            <w:numPr>
              <w:ilvl w:val="0"/>
              <w:numId w:val="4"/>
            </w:numPr>
            <w:spacing w:before="100" w:beforeAutospacing="1" w:after="100" w:afterAutospacing="1"/>
            <w:jc w:val="both"/>
            <w:outlineLvl w:val="0"/>
            <w:rPr>
              <w:rFonts w:ascii="Times New Roman" w:hAnsi="Times New Roman" w:cs="Times New Roman"/>
              <w:b/>
              <w:bCs/>
              <w:kern w:val="36"/>
            </w:rPr>
          </w:pPr>
          <w:r w:rsidRPr="00C603A7">
            <w:rPr>
              <w:rFonts w:ascii="Times New Roman" w:hAnsi="Times New Roman" w:cs="Times New Roman"/>
              <w:b/>
              <w:bCs/>
              <w:kern w:val="36"/>
            </w:rPr>
            <w:t>Bibliography</w:t>
          </w:r>
        </w:p>
        <w:sdt>
          <w:sdtPr>
            <w:rPr>
              <w:rFonts w:ascii="Times New Roman" w:eastAsia="Calibri" w:hAnsi="Times New Roman" w:cs="Times New Roman"/>
              <w:sz w:val="24"/>
              <w:szCs w:val="24"/>
              <w:lang w:val="en-GB"/>
            </w:rPr>
            <w:id w:val="111145805"/>
            <w:bibliography/>
          </w:sdtPr>
          <w:sdtContent>
            <w:p w14:paraId="68C10D78" w14:textId="77777777" w:rsidR="0076715E" w:rsidRPr="0076715E" w:rsidRDefault="0076715E" w:rsidP="00561FC0">
              <w:pPr>
                <w:spacing w:before="120" w:after="120"/>
                <w:ind w:left="720" w:hanging="720"/>
                <w:jc w:val="both"/>
                <w:rPr>
                  <w:rFonts w:ascii="Times New Roman" w:eastAsia="Calibri" w:hAnsi="Times New Roman" w:cs="Times New Roman"/>
                  <w:noProof/>
                  <w:sz w:val="24"/>
                  <w:szCs w:val="24"/>
                  <w:lang w:val="en-GB"/>
                </w:rPr>
              </w:pPr>
              <w:r w:rsidRPr="0076715E">
                <w:rPr>
                  <w:rFonts w:ascii="Times New Roman" w:eastAsia="Calibri" w:hAnsi="Times New Roman" w:cs="Times New Roman"/>
                  <w:sz w:val="24"/>
                  <w:szCs w:val="24"/>
                  <w:lang w:val="en-GB"/>
                </w:rPr>
                <w:fldChar w:fldCharType="begin"/>
              </w:r>
              <w:r w:rsidRPr="0076715E">
                <w:rPr>
                  <w:rFonts w:ascii="Times New Roman" w:eastAsia="Calibri" w:hAnsi="Times New Roman" w:cs="Times New Roman"/>
                  <w:sz w:val="24"/>
                  <w:szCs w:val="24"/>
                  <w:lang w:val="en-GB"/>
                </w:rPr>
                <w:instrText xml:space="preserve"> BIBLIOGRAPHY </w:instrText>
              </w:r>
              <w:r w:rsidRPr="0076715E">
                <w:rPr>
                  <w:rFonts w:ascii="Times New Roman" w:eastAsia="Calibri" w:hAnsi="Times New Roman" w:cs="Times New Roman"/>
                  <w:sz w:val="24"/>
                  <w:szCs w:val="24"/>
                  <w:lang w:val="en-GB"/>
                </w:rPr>
                <w:fldChar w:fldCharType="separate"/>
              </w:r>
              <w:r w:rsidRPr="0076715E">
                <w:rPr>
                  <w:rFonts w:ascii="Times New Roman" w:eastAsia="Calibri" w:hAnsi="Times New Roman" w:cs="Times New Roman"/>
                  <w:noProof/>
                  <w:sz w:val="24"/>
                  <w:szCs w:val="24"/>
                  <w:lang w:val="en-GB"/>
                </w:rPr>
                <w:t>Alabdulkarem, A., Alhojailan, M., &amp; Alabdulkarim, S. (2021). Comprehensive investigation of factors influencing university students’ academic performance in Saudi Arabia. Education Sciences, 11(8), 375.</w:t>
              </w:r>
            </w:p>
            <w:p w14:paraId="512E9C4B" w14:textId="77777777" w:rsidR="0076715E" w:rsidRPr="0076715E" w:rsidRDefault="0076715E" w:rsidP="00561FC0">
              <w:pPr>
                <w:spacing w:before="60" w:after="60"/>
                <w:ind w:left="720" w:hanging="720"/>
                <w:jc w:val="both"/>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Alhumaid, K. (2019). Four Ways Technology Has Negatively Changed Education. </w:t>
              </w:r>
              <w:r w:rsidRPr="0076715E">
                <w:rPr>
                  <w:rFonts w:ascii="Times New Roman" w:eastAsia="Calibri" w:hAnsi="Times New Roman" w:cs="Times New Roman"/>
                  <w:i/>
                  <w:iCs/>
                  <w:noProof/>
                  <w:sz w:val="24"/>
                  <w:szCs w:val="24"/>
                  <w:lang w:val="en-GB"/>
                </w:rPr>
                <w:t>Journal of Educational and Social Research</w:t>
              </w:r>
              <w:r w:rsidRPr="0076715E">
                <w:rPr>
                  <w:rFonts w:ascii="Times New Roman" w:eastAsia="Calibri" w:hAnsi="Times New Roman" w:cs="Times New Roman"/>
                  <w:noProof/>
                  <w:sz w:val="24"/>
                  <w:szCs w:val="24"/>
                  <w:lang w:val="en-GB"/>
                </w:rPr>
                <w:t>, Vol 9 No 4.</w:t>
              </w:r>
            </w:p>
            <w:p w14:paraId="042ED213" w14:textId="77777777" w:rsidR="0076715E" w:rsidRPr="0076715E" w:rsidRDefault="0076715E" w:rsidP="00615603">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Araque, F., Roldán, C., Salguero, A. . (2009). </w:t>
              </w:r>
              <w:r w:rsidRPr="0076715E">
                <w:rPr>
                  <w:rFonts w:ascii="Times New Roman" w:eastAsia="Calibri" w:hAnsi="Times New Roman" w:cs="Times New Roman"/>
                  <w:i/>
                  <w:iCs/>
                  <w:noProof/>
                  <w:sz w:val="24"/>
                  <w:szCs w:val="24"/>
                  <w:lang w:val="en-GB"/>
                </w:rPr>
                <w:t>Factors influencing university drop out rates. .</w:t>
              </w:r>
              <w:r w:rsidRPr="0076715E">
                <w:rPr>
                  <w:rFonts w:ascii="Times New Roman" w:eastAsia="Calibri" w:hAnsi="Times New Roman" w:cs="Times New Roman"/>
                  <w:noProof/>
                  <w:sz w:val="24"/>
                  <w:szCs w:val="24"/>
                  <w:lang w:val="en-GB"/>
                </w:rPr>
                <w:t xml:space="preserve"> Computers &amp; Education, 53(3), 563-574.</w:t>
              </w:r>
            </w:p>
            <w:p w14:paraId="133DDACD" w14:textId="77777777" w:rsidR="0076715E" w:rsidRPr="0076715E" w:rsidRDefault="0076715E" w:rsidP="00615603">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Chamorro-Premuzic, T., &amp; Furnham, A. . (2003). Personality predicts academic performance: Evidence from two longitudinal university samples. . Journal of research in personality, 37(4), 319-338.</w:t>
              </w:r>
            </w:p>
            <w:p w14:paraId="46FFB148" w14:textId="77777777" w:rsidR="0076715E" w:rsidRPr="0076715E" w:rsidRDefault="0076715E" w:rsidP="00615603">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CHESR. (2015). Committee on Higher Education and Scientific Research, The First Report on the Reform of Higher Education and Scientific Research for year 2014 (FRRHESR), available at: https://arsimi.gov.al/wp-content/uploads/2018/08/Raport_Ministria_Arsimit.pdf.</w:t>
              </w:r>
            </w:p>
            <w:p w14:paraId="5A40E395" w14:textId="77777777" w:rsidR="0076715E" w:rsidRPr="0076715E" w:rsidRDefault="0076715E" w:rsidP="00615603">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De Bruijn, B., Filipi, G., Nesturi, M., &amp; Galanxhi, E. (2015). Youth in Albania: Challenges in Changing Time. INSTAT, avaliable at: http://www.instat.gov.al/media/1581/youth_in_albaniachallenges_in_changing_times_bdb.pdf, ast visited May 2022.</w:t>
              </w:r>
            </w:p>
            <w:p w14:paraId="0667AF76" w14:textId="77777777" w:rsidR="0076715E" w:rsidRPr="0076715E" w:rsidRDefault="0076715E">
              <w:pPr>
                <w:spacing w:before="120" w:after="120"/>
                <w:ind w:left="720" w:hanging="720"/>
                <w:jc w:val="both"/>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Ekonomi, M., Danaj, E., Zhllima, E., Guxho, A., Lika, M., Festy, P., 2005, Becoming an adult challenges and potentials of youth in Albania, available at: https://www.researchgate.net/profile/Ermira-Danaj/publication/278905823_Becoming_an_adult_challenges_and_potentials_of_youth_in_Albania/links/5587bf4c08aef58c03a0524e/Becoming-an-adult-challenges-and-potentials-of-youth-in-Albania.pdf , last visited May 2022. </w:t>
              </w:r>
            </w:p>
            <w:p w14:paraId="52C2FDA9"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Francis, J. (2017). The Effects Of Technology On Student Motivation And Engagement In Classroom-Based Learning. All Theses And Dissertations. 121.</w:t>
              </w:r>
            </w:p>
            <w:p w14:paraId="1D8A144A"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Fraser, W., Killen, R. (2005). </w:t>
              </w:r>
              <w:r w:rsidRPr="0076715E">
                <w:rPr>
                  <w:rFonts w:ascii="Times New Roman" w:eastAsia="Calibri" w:hAnsi="Times New Roman" w:cs="Times New Roman"/>
                  <w:i/>
                  <w:iCs/>
                  <w:noProof/>
                  <w:sz w:val="24"/>
                  <w:szCs w:val="24"/>
                  <w:lang w:val="en-GB"/>
                </w:rPr>
                <w:t>The perceptions of students and lecturers of some factors influencing academic performance at two South African universities.</w:t>
              </w:r>
              <w:r w:rsidRPr="0076715E">
                <w:rPr>
                  <w:rFonts w:ascii="Times New Roman" w:eastAsia="Calibri" w:hAnsi="Times New Roman" w:cs="Times New Roman"/>
                  <w:noProof/>
                  <w:sz w:val="24"/>
                  <w:szCs w:val="24"/>
                  <w:lang w:val="en-GB"/>
                </w:rPr>
                <w:t xml:space="preserve"> Perspectives in Education, 23(1), 25-40.</w:t>
              </w:r>
            </w:p>
            <w:p w14:paraId="553910D5"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Gutierrez, M., &amp; Tomas, J. M. . (2019). The role of perceived autonomy support in predicting university students’academic success mediated by academic self-efficacy and school engagement. </w:t>
              </w:r>
              <w:r w:rsidRPr="0076715E">
                <w:rPr>
                  <w:rFonts w:ascii="Times New Roman" w:eastAsia="Calibri" w:hAnsi="Times New Roman" w:cs="Times New Roman"/>
                  <w:i/>
                  <w:iCs/>
                  <w:noProof/>
                  <w:sz w:val="24"/>
                  <w:szCs w:val="24"/>
                  <w:lang w:val="en-GB"/>
                </w:rPr>
                <w:t>Educational Psychology</w:t>
              </w:r>
              <w:r w:rsidRPr="0076715E">
                <w:rPr>
                  <w:rFonts w:ascii="Times New Roman" w:eastAsia="Calibri" w:hAnsi="Times New Roman" w:cs="Times New Roman"/>
                  <w:noProof/>
                  <w:sz w:val="24"/>
                  <w:szCs w:val="24"/>
                  <w:lang w:val="en-GB"/>
                </w:rPr>
                <w:t>, 39(6), 729–748.</w:t>
              </w:r>
            </w:p>
            <w:p w14:paraId="09478CD4"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Hepworth, D., Littlepage, B., &amp; Hancock, K. (2018). Factors influencing university student academic success. Educational Research Quarterly, 42(1), 45-61.</w:t>
              </w:r>
            </w:p>
            <w:p w14:paraId="18F26581"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INSTAT. (2021). Anketa Tremujore e Forcave të Punës.</w:t>
              </w:r>
            </w:p>
            <w:p w14:paraId="262CBA17"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lastRenderedPageBreak/>
                <w:t xml:space="preserve">Islam, M. M. (2014). </w:t>
              </w:r>
              <w:r w:rsidRPr="0076715E">
                <w:rPr>
                  <w:rFonts w:ascii="Times New Roman" w:eastAsia="Calibri" w:hAnsi="Times New Roman" w:cs="Times New Roman"/>
                  <w:i/>
                  <w:iCs/>
                  <w:noProof/>
                  <w:sz w:val="24"/>
                  <w:szCs w:val="24"/>
                  <w:lang w:val="en-GB"/>
                </w:rPr>
                <w:t>Factors influencing the academic performance of undergraduate students in Sultan Qaboos University in Oman.</w:t>
              </w:r>
              <w:r w:rsidRPr="0076715E">
                <w:rPr>
                  <w:rFonts w:ascii="Times New Roman" w:eastAsia="Calibri" w:hAnsi="Times New Roman" w:cs="Times New Roman"/>
                  <w:noProof/>
                  <w:sz w:val="24"/>
                  <w:szCs w:val="24"/>
                  <w:lang w:val="en-GB"/>
                </w:rPr>
                <w:t xml:space="preserve"> Journal of Emerging Trends in Educational Research and Policy Studies, 5(4), 396-404.</w:t>
              </w:r>
            </w:p>
            <w:p w14:paraId="1CEBCEFD"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Kajsiu, B. (2015). Higher Education in Albania: The Never Ending Challenge. International higher education, (82), 15-16.</w:t>
              </w:r>
            </w:p>
            <w:p w14:paraId="1D707017"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Kassarnig, V., Mones, E., Bjerre-Nielsen, A. et al. (2018). Academic performance and behavioral patterns. </w:t>
              </w:r>
              <w:r w:rsidRPr="0076715E">
                <w:rPr>
                  <w:rFonts w:ascii="Times New Roman" w:eastAsia="Calibri" w:hAnsi="Times New Roman" w:cs="Times New Roman"/>
                  <w:i/>
                  <w:iCs/>
                  <w:noProof/>
                  <w:sz w:val="24"/>
                  <w:szCs w:val="24"/>
                  <w:lang w:val="en-GB"/>
                </w:rPr>
                <w:t>EPJ Data Sci. 7, 10</w:t>
              </w:r>
              <w:r w:rsidRPr="0076715E">
                <w:rPr>
                  <w:rFonts w:ascii="Times New Roman" w:eastAsia="Calibri" w:hAnsi="Times New Roman" w:cs="Times New Roman"/>
                  <w:noProof/>
                  <w:sz w:val="24"/>
                  <w:szCs w:val="24"/>
                  <w:lang w:val="en-GB"/>
                </w:rPr>
                <w:t>.</w:t>
              </w:r>
            </w:p>
            <w:p w14:paraId="7D88F453"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Liem, G. A. (2019). Academic performance and assessment. </w:t>
              </w:r>
              <w:r w:rsidRPr="0076715E">
                <w:rPr>
                  <w:rFonts w:ascii="Times New Roman" w:eastAsia="Calibri" w:hAnsi="Times New Roman" w:cs="Times New Roman"/>
                  <w:i/>
                  <w:iCs/>
                  <w:noProof/>
                  <w:sz w:val="24"/>
                  <w:szCs w:val="24"/>
                  <w:lang w:val="en-GB"/>
                </w:rPr>
                <w:t>Educational Psychology</w:t>
              </w:r>
              <w:r w:rsidRPr="0076715E">
                <w:rPr>
                  <w:rFonts w:ascii="Times New Roman" w:eastAsia="Calibri" w:hAnsi="Times New Roman" w:cs="Times New Roman"/>
                  <w:noProof/>
                  <w:sz w:val="24"/>
                  <w:szCs w:val="24"/>
                  <w:lang w:val="en-GB"/>
                </w:rPr>
                <w:t>, 39:6, 705-708, DOI: 10.1080/01443410.2019.1625522.</w:t>
              </w:r>
            </w:p>
            <w:p w14:paraId="0A12096B"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Maqableh MM, Rajab L, Quteshat W, Moh’d Taisir Masa R, Khatib T, Karajeh H et al. (2015). The impact of social media networks websites usage on students’ academic performance. Commun Netw 7(4):159.</w:t>
              </w:r>
            </w:p>
            <w:p w14:paraId="29CD3329"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Nel, C., Troskie-de Bruin, C., &amp; Bitzer, E. (2009). Students' transition from school to university: Possibilities for a pre-university intervention. South African Journal of Higher Education, 23(5), 974-991.</w:t>
              </w:r>
            </w:p>
            <w:p w14:paraId="1BB90653"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Páramo Fernández, M. F., Araújo, A. M., Tinajero-Vacas, C., Almeida, L. S., &amp; Rodríguez-González, M. S. (2017). Predictors of students’ adjustment during the transition to university in Spain. </w:t>
              </w:r>
            </w:p>
            <w:p w14:paraId="24345048"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Pennington, C. R., Bates, E. A., Kaye, L. K., &amp; Bolam, L. T. (2018). Transitioning in higher education: an exploration of psychological and contextual factors affecting student satisfaction. Journal of Further and Higher Education, 42(5), 596-607.</w:t>
              </w:r>
            </w:p>
            <w:p w14:paraId="05F8A17E"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Sanchez‐Gelabert, A., Figueroa, M., &amp; Elias, M. (2017). Working whilst studying in higher education: The impact of the economic crisis on academic and labour market success. </w:t>
              </w:r>
              <w:r w:rsidRPr="0076715E">
                <w:rPr>
                  <w:rFonts w:ascii="Times New Roman" w:eastAsia="Calibri" w:hAnsi="Times New Roman" w:cs="Times New Roman"/>
                  <w:i/>
                  <w:iCs/>
                  <w:noProof/>
                  <w:sz w:val="24"/>
                  <w:szCs w:val="24"/>
                  <w:lang w:val="en-GB"/>
                </w:rPr>
                <w:t>European Journal of Education</w:t>
              </w:r>
              <w:r w:rsidRPr="0076715E">
                <w:rPr>
                  <w:rFonts w:ascii="Times New Roman" w:eastAsia="Calibri" w:hAnsi="Times New Roman" w:cs="Times New Roman"/>
                  <w:noProof/>
                  <w:sz w:val="24"/>
                  <w:szCs w:val="24"/>
                  <w:lang w:val="en-GB"/>
                </w:rPr>
                <w:t>, 52(2), 232-245.</w:t>
              </w:r>
            </w:p>
            <w:p w14:paraId="2E580F41" w14:textId="77777777" w:rsidR="0076715E" w:rsidRPr="0076715E" w:rsidRDefault="0076715E" w:rsidP="00C273AC">
              <w:pPr>
                <w:spacing w:before="120" w:after="120"/>
                <w:ind w:left="720" w:hanging="720"/>
                <w:rPr>
                  <w:rFonts w:ascii="Times New Roman" w:eastAsia="Calibri" w:hAnsi="Times New Roman" w:cs="Times New Roman"/>
                  <w:color w:val="222222"/>
                  <w:sz w:val="24"/>
                  <w:szCs w:val="24"/>
                  <w:shd w:val="clear" w:color="auto" w:fill="FFFFFF"/>
                  <w:lang w:val="en-GB"/>
                </w:rPr>
              </w:pPr>
              <w:r w:rsidRPr="0076715E">
                <w:rPr>
                  <w:rFonts w:ascii="Times New Roman" w:eastAsia="Calibri" w:hAnsi="Times New Roman" w:cs="Times New Roman"/>
                  <w:color w:val="222222"/>
                  <w:sz w:val="24"/>
                  <w:szCs w:val="24"/>
                  <w:shd w:val="clear" w:color="auto" w:fill="FFFFFF"/>
                  <w:lang w:val="en-GB"/>
                </w:rPr>
                <w:t>Shahini, A. (2021). Inequalities in Albanian Education: Evidence from Large-Scale Assessment Studies. </w:t>
              </w:r>
              <w:r w:rsidRPr="0076715E">
                <w:rPr>
                  <w:rFonts w:ascii="Times New Roman" w:eastAsia="Calibri" w:hAnsi="Times New Roman" w:cs="Times New Roman"/>
                  <w:i/>
                  <w:iCs/>
                  <w:color w:val="222222"/>
                  <w:sz w:val="24"/>
                  <w:szCs w:val="24"/>
                  <w:shd w:val="clear" w:color="auto" w:fill="FFFFFF"/>
                  <w:lang w:val="en-GB"/>
                </w:rPr>
                <w:t>Kultura i Edukacja</w:t>
              </w:r>
              <w:r w:rsidRPr="0076715E">
                <w:rPr>
                  <w:rFonts w:ascii="Times New Roman" w:eastAsia="Calibri" w:hAnsi="Times New Roman" w:cs="Times New Roman"/>
                  <w:color w:val="222222"/>
                  <w:sz w:val="24"/>
                  <w:szCs w:val="24"/>
                  <w:shd w:val="clear" w:color="auto" w:fill="FFFFFF"/>
                  <w:lang w:val="en-GB"/>
                </w:rPr>
                <w:t>, (4 (134)), 40-70.</w:t>
              </w:r>
            </w:p>
            <w:p w14:paraId="034DF819"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 xml:space="preserve">Yilmaz, G. (2009). </w:t>
              </w:r>
              <w:r w:rsidRPr="0076715E">
                <w:rPr>
                  <w:rFonts w:ascii="Times New Roman" w:eastAsia="Calibri" w:hAnsi="Times New Roman" w:cs="Times New Roman"/>
                  <w:i/>
                  <w:iCs/>
                  <w:noProof/>
                  <w:sz w:val="24"/>
                  <w:szCs w:val="24"/>
                  <w:lang w:val="en-GB"/>
                </w:rPr>
                <w:t>"Exogenous and endogenous factors influencing students' performance in undergraduate accounting modules.".</w:t>
              </w:r>
              <w:r w:rsidRPr="0076715E">
                <w:rPr>
                  <w:rFonts w:ascii="Times New Roman" w:eastAsia="Calibri" w:hAnsi="Times New Roman" w:cs="Times New Roman"/>
                  <w:noProof/>
                  <w:sz w:val="24"/>
                  <w:szCs w:val="24"/>
                  <w:lang w:val="en-GB"/>
                </w:rPr>
                <w:t xml:space="preserve"> Accounting Education 18.1 (2009): 51-73.</w:t>
              </w:r>
            </w:p>
            <w:p w14:paraId="6133957F" w14:textId="77777777" w:rsidR="0076715E" w:rsidRPr="0076715E" w:rsidRDefault="0076715E" w:rsidP="00C273AC">
              <w:pPr>
                <w:spacing w:before="120" w:after="120"/>
                <w:ind w:left="720" w:hanging="720"/>
                <w:rPr>
                  <w:rFonts w:ascii="Times New Roman" w:eastAsia="Calibri" w:hAnsi="Times New Roman" w:cs="Times New Roman"/>
                  <w:noProof/>
                  <w:sz w:val="24"/>
                  <w:szCs w:val="24"/>
                  <w:lang w:val="en-GB"/>
                </w:rPr>
              </w:pPr>
              <w:r w:rsidRPr="0076715E">
                <w:rPr>
                  <w:rFonts w:ascii="Times New Roman" w:eastAsia="Calibri" w:hAnsi="Times New Roman" w:cs="Times New Roman"/>
                  <w:noProof/>
                  <w:sz w:val="24"/>
                  <w:szCs w:val="24"/>
                  <w:lang w:val="en-GB"/>
                </w:rPr>
                <w:t>Zhllima, E., Imami, D., Rama, K., &amp; Shahini, A. (2018). Corruption in education during socialism and the postsocialist transition: The case of Albania. Region, 7(2), 51-70.</w:t>
              </w:r>
            </w:p>
            <w:p w14:paraId="41F8B5B5" w14:textId="0C5AF483" w:rsidR="00FB52CC" w:rsidRDefault="0076715E" w:rsidP="0076715E">
              <w:pPr>
                <w:rPr>
                  <w:rFonts w:ascii="Times New Roman" w:hAnsi="Times New Roman" w:cs="Times New Roman"/>
                  <w:sz w:val="36"/>
                  <w:szCs w:val="36"/>
                  <w:lang w:val="en-GB"/>
                </w:rPr>
              </w:pPr>
              <w:r w:rsidRPr="0076715E">
                <w:rPr>
                  <w:rFonts w:ascii="Times New Roman" w:eastAsia="Calibri" w:hAnsi="Times New Roman" w:cs="Times New Roman"/>
                  <w:b/>
                  <w:bCs/>
                  <w:noProof/>
                  <w:sz w:val="24"/>
                  <w:szCs w:val="24"/>
                  <w:lang w:val="en-GB"/>
                </w:rPr>
                <w:fldChar w:fldCharType="end"/>
              </w:r>
            </w:p>
          </w:sdtContent>
        </w:sdt>
      </w:sdtContent>
    </w:sdt>
    <w:p w14:paraId="5AB19FF8" w14:textId="39892FC1" w:rsidR="00FB52CC" w:rsidRDefault="00FB52CC" w:rsidP="0076715E">
      <w:pPr>
        <w:rPr>
          <w:rFonts w:ascii="Times New Roman" w:hAnsi="Times New Roman" w:cs="Times New Roman"/>
          <w:sz w:val="36"/>
          <w:szCs w:val="36"/>
          <w:lang w:val="en-GB"/>
        </w:rPr>
      </w:pPr>
    </w:p>
    <w:p w14:paraId="5EF9DF65" w14:textId="32FC0F31" w:rsidR="005571AA" w:rsidRDefault="005571AA" w:rsidP="0076715E">
      <w:pPr>
        <w:rPr>
          <w:rFonts w:ascii="Times New Roman" w:hAnsi="Times New Roman" w:cs="Times New Roman"/>
          <w:sz w:val="36"/>
          <w:szCs w:val="36"/>
          <w:lang w:val="en-GB"/>
        </w:rPr>
      </w:pPr>
    </w:p>
    <w:p w14:paraId="0ADF9B0D" w14:textId="77777777" w:rsidR="005571AA" w:rsidRPr="00C603A7" w:rsidRDefault="005571AA" w:rsidP="0076715E">
      <w:pPr>
        <w:rPr>
          <w:rFonts w:ascii="Times New Roman" w:hAnsi="Times New Roman" w:cs="Times New Roman"/>
          <w:sz w:val="36"/>
          <w:szCs w:val="36"/>
          <w:lang w:val="en-GB"/>
        </w:rPr>
      </w:pPr>
    </w:p>
    <w:p w14:paraId="3FE79F04" w14:textId="77777777" w:rsidR="00EB60B4" w:rsidRPr="00EB60B4" w:rsidRDefault="00EB60B4" w:rsidP="00EB60B4">
      <w:pPr>
        <w:jc w:val="center"/>
        <w:rPr>
          <w:rFonts w:ascii="Times New Roman" w:eastAsia="Calibri" w:hAnsi="Times New Roman" w:cs="Times New Roman"/>
          <w:b/>
          <w:sz w:val="28"/>
          <w:szCs w:val="28"/>
          <w:highlight w:val="yellow"/>
          <w:lang w:val="en-GB"/>
        </w:rPr>
      </w:pPr>
      <w:r w:rsidRPr="00EB60B4">
        <w:rPr>
          <w:rFonts w:ascii="Times New Roman" w:eastAsia="Calibri" w:hAnsi="Times New Roman" w:cs="Times New Roman"/>
          <w:b/>
          <w:sz w:val="28"/>
          <w:szCs w:val="28"/>
          <w:lang w:val="en-GB"/>
        </w:rPr>
        <w:lastRenderedPageBreak/>
        <w:t>Farmer financial education – the case of vineyards farmers in Kosovo</w:t>
      </w:r>
    </w:p>
    <w:p w14:paraId="33CC394A" w14:textId="77777777" w:rsidR="00EB60B4" w:rsidRPr="00EB60B4" w:rsidRDefault="00EB60B4" w:rsidP="00EB60B4">
      <w:pPr>
        <w:shd w:val="clear" w:color="auto" w:fill="FFFFFF"/>
        <w:spacing w:after="0" w:line="240" w:lineRule="auto"/>
        <w:jc w:val="center"/>
        <w:rPr>
          <w:rFonts w:ascii="Times New Roman" w:eastAsia="Times New Roman" w:hAnsi="Times New Roman" w:cs="Times New Roman"/>
          <w:b/>
          <w:bCs/>
          <w:color w:val="222222"/>
          <w:sz w:val="24"/>
          <w:szCs w:val="24"/>
          <w:lang w:val="en-GB"/>
        </w:rPr>
      </w:pPr>
    </w:p>
    <w:p w14:paraId="3CBEA7BF" w14:textId="77777777" w:rsidR="00EB60B4" w:rsidRPr="00EB60B4" w:rsidRDefault="00EB60B4" w:rsidP="00EB60B4">
      <w:pPr>
        <w:shd w:val="clear" w:color="auto" w:fill="FFFFFF"/>
        <w:spacing w:after="0" w:line="240" w:lineRule="auto"/>
        <w:jc w:val="center"/>
        <w:rPr>
          <w:rFonts w:ascii="Times New Roman" w:eastAsia="Times New Roman" w:hAnsi="Times New Roman" w:cs="Times New Roman"/>
          <w:b/>
          <w:bCs/>
          <w:color w:val="222222"/>
          <w:sz w:val="24"/>
          <w:szCs w:val="24"/>
          <w:lang w:val="en-GB"/>
        </w:rPr>
      </w:pPr>
      <w:r w:rsidRPr="00EB60B4">
        <w:rPr>
          <w:rFonts w:ascii="Times New Roman" w:eastAsia="Times New Roman" w:hAnsi="Times New Roman" w:cs="Times New Roman"/>
          <w:b/>
          <w:bCs/>
          <w:color w:val="222222"/>
          <w:sz w:val="24"/>
          <w:szCs w:val="24"/>
          <w:lang w:val="en-GB"/>
        </w:rPr>
        <w:t>Aurora Hoxha</w:t>
      </w:r>
    </w:p>
    <w:p w14:paraId="79361862" w14:textId="77777777" w:rsidR="00EB60B4" w:rsidRPr="00EB60B4" w:rsidRDefault="00EB60B4" w:rsidP="00EB60B4">
      <w:pPr>
        <w:spacing w:after="0"/>
        <w:jc w:val="center"/>
        <w:rPr>
          <w:rFonts w:ascii="Times New Roman" w:eastAsia="Calibri" w:hAnsi="Times New Roman" w:cs="Times New Roman"/>
          <w:color w:val="000000"/>
          <w:sz w:val="24"/>
          <w:szCs w:val="24"/>
          <w:highlight w:val="white"/>
          <w:lang w:val="en-GB"/>
        </w:rPr>
      </w:pPr>
      <w:r w:rsidRPr="00EB60B4">
        <w:rPr>
          <w:rFonts w:ascii="Times New Roman" w:eastAsia="Calibri" w:hAnsi="Times New Roman" w:cs="Times New Roman"/>
          <w:color w:val="000000"/>
          <w:sz w:val="24"/>
          <w:szCs w:val="24"/>
          <w:highlight w:val="white"/>
          <w:lang w:val="en-GB"/>
        </w:rPr>
        <w:t>Faculty of Economics and Agribusiness, Agriculture University of Tirana, Tirana, Albania.</w:t>
      </w:r>
    </w:p>
    <w:p w14:paraId="2B526B2D" w14:textId="77777777" w:rsidR="00EB60B4" w:rsidRPr="00EB60B4" w:rsidRDefault="00EB60B4" w:rsidP="00EB60B4">
      <w:pPr>
        <w:shd w:val="clear" w:color="auto" w:fill="FFFFFF"/>
        <w:spacing w:after="0" w:line="240" w:lineRule="auto"/>
        <w:jc w:val="center"/>
        <w:rPr>
          <w:rFonts w:ascii="Times New Roman" w:eastAsia="Times New Roman" w:hAnsi="Times New Roman" w:cs="Times New Roman"/>
          <w:color w:val="0000FF"/>
          <w:sz w:val="24"/>
          <w:szCs w:val="24"/>
          <w:u w:val="single"/>
          <w:lang w:val="en-GB"/>
        </w:rPr>
      </w:pPr>
      <w:r w:rsidRPr="00EB60B4">
        <w:rPr>
          <w:rFonts w:ascii="Times New Roman" w:eastAsia="Times New Roman" w:hAnsi="Times New Roman" w:cs="Times New Roman"/>
          <w:color w:val="000000"/>
          <w:sz w:val="24"/>
          <w:szCs w:val="24"/>
          <w:highlight w:val="white"/>
          <w:lang w:val="en-GB"/>
        </w:rPr>
        <w:t xml:space="preserve">E-mail: </w:t>
      </w:r>
      <w:hyperlink r:id="rId25" w:history="1">
        <w:r w:rsidRPr="00EB60B4">
          <w:rPr>
            <w:rFonts w:ascii="Times New Roman" w:eastAsia="Times New Roman" w:hAnsi="Times New Roman" w:cs="Times New Roman"/>
            <w:color w:val="0563C1"/>
            <w:sz w:val="24"/>
            <w:szCs w:val="24"/>
            <w:highlight w:val="white"/>
            <w:u w:val="single"/>
            <w:lang w:val="en-GB"/>
          </w:rPr>
          <w:t>ahoxha@ubt.edu.al</w:t>
        </w:r>
      </w:hyperlink>
    </w:p>
    <w:p w14:paraId="13E675B1" w14:textId="77777777" w:rsidR="00EB60B4" w:rsidRPr="00EB60B4" w:rsidRDefault="00EB60B4" w:rsidP="00EB60B4">
      <w:pPr>
        <w:shd w:val="clear" w:color="auto" w:fill="FFFFFF"/>
        <w:spacing w:after="0" w:line="240" w:lineRule="auto"/>
        <w:jc w:val="center"/>
        <w:rPr>
          <w:rFonts w:ascii="Times New Roman" w:eastAsia="Times New Roman" w:hAnsi="Times New Roman" w:cs="Times New Roman"/>
          <w:b/>
          <w:bCs/>
          <w:color w:val="222222"/>
          <w:sz w:val="24"/>
          <w:szCs w:val="24"/>
          <w:lang w:val="en-GB"/>
        </w:rPr>
      </w:pPr>
    </w:p>
    <w:p w14:paraId="0B3DC0B3" w14:textId="24B61BE0" w:rsidR="00EB60B4" w:rsidRPr="00EB60B4" w:rsidRDefault="00EB60B4" w:rsidP="00EB60B4">
      <w:pPr>
        <w:shd w:val="clear" w:color="auto" w:fill="FFFFFF"/>
        <w:spacing w:after="0" w:line="240" w:lineRule="auto"/>
        <w:jc w:val="center"/>
        <w:rPr>
          <w:rFonts w:ascii="Times New Roman" w:eastAsia="Times New Roman" w:hAnsi="Times New Roman" w:cs="Times New Roman"/>
          <w:b/>
          <w:bCs/>
          <w:color w:val="222222"/>
          <w:sz w:val="24"/>
          <w:szCs w:val="24"/>
          <w:lang w:val="en-GB"/>
        </w:rPr>
      </w:pPr>
      <w:r w:rsidRPr="00EB60B4">
        <w:rPr>
          <w:rFonts w:ascii="Times New Roman" w:eastAsia="Times New Roman" w:hAnsi="Times New Roman" w:cs="Times New Roman"/>
          <w:b/>
          <w:bCs/>
          <w:color w:val="222222"/>
          <w:sz w:val="24"/>
          <w:szCs w:val="24"/>
          <w:lang w:val="en-GB"/>
        </w:rPr>
        <w:t>Edmira Shahu</w:t>
      </w:r>
      <w:r w:rsidR="003B4C27">
        <w:rPr>
          <w:rFonts w:ascii="Times New Roman" w:eastAsia="Times New Roman" w:hAnsi="Times New Roman" w:cs="Times New Roman"/>
          <w:b/>
          <w:bCs/>
          <w:color w:val="222222"/>
          <w:sz w:val="24"/>
          <w:szCs w:val="24"/>
          <w:lang w:val="en-GB"/>
        </w:rPr>
        <w:t xml:space="preserve"> (Ozuni)</w:t>
      </w:r>
    </w:p>
    <w:p w14:paraId="5B164BBF" w14:textId="77777777" w:rsidR="00EB60B4" w:rsidRPr="00EB60B4" w:rsidRDefault="00EB60B4" w:rsidP="00EB60B4">
      <w:pPr>
        <w:spacing w:after="0"/>
        <w:jc w:val="center"/>
        <w:rPr>
          <w:rFonts w:ascii="Times New Roman" w:eastAsia="Calibri" w:hAnsi="Times New Roman" w:cs="Times New Roman"/>
          <w:color w:val="000000"/>
          <w:sz w:val="24"/>
          <w:szCs w:val="24"/>
          <w:highlight w:val="white"/>
          <w:lang w:val="en-GB"/>
        </w:rPr>
      </w:pPr>
      <w:r w:rsidRPr="00EB60B4">
        <w:rPr>
          <w:rFonts w:ascii="Times New Roman" w:eastAsia="Calibri" w:hAnsi="Times New Roman" w:cs="Times New Roman"/>
          <w:color w:val="000000"/>
          <w:sz w:val="24"/>
          <w:szCs w:val="24"/>
          <w:highlight w:val="white"/>
          <w:lang w:val="en-GB"/>
        </w:rPr>
        <w:t>Faculty of Economics and Agribusiness, Agriculture University of Tirana, Tirana, Albania.</w:t>
      </w:r>
    </w:p>
    <w:p w14:paraId="0164CB7D" w14:textId="77777777" w:rsidR="00EB60B4" w:rsidRPr="00EB60B4" w:rsidRDefault="00EB60B4" w:rsidP="00EB60B4">
      <w:pPr>
        <w:spacing w:after="120"/>
        <w:jc w:val="center"/>
        <w:rPr>
          <w:rFonts w:ascii="Times New Roman" w:eastAsia="Calibri" w:hAnsi="Times New Roman" w:cs="Times New Roman"/>
          <w:sz w:val="24"/>
          <w:szCs w:val="24"/>
          <w:lang w:val="en-GB"/>
        </w:rPr>
      </w:pPr>
      <w:r w:rsidRPr="00EB60B4">
        <w:rPr>
          <w:rFonts w:ascii="Times New Roman" w:eastAsia="Calibri" w:hAnsi="Times New Roman" w:cs="Times New Roman"/>
          <w:color w:val="000000"/>
          <w:sz w:val="24"/>
          <w:szCs w:val="24"/>
          <w:highlight w:val="white"/>
          <w:lang w:val="en-GB"/>
        </w:rPr>
        <w:t xml:space="preserve">E-mail: </w:t>
      </w:r>
      <w:hyperlink r:id="rId26" w:history="1">
        <w:r w:rsidRPr="00EB60B4">
          <w:rPr>
            <w:rFonts w:ascii="Times New Roman" w:eastAsia="Calibri" w:hAnsi="Times New Roman" w:cs="Times New Roman"/>
            <w:color w:val="0563C1"/>
            <w:sz w:val="24"/>
            <w:szCs w:val="24"/>
            <w:highlight w:val="white"/>
            <w:u w:val="single"/>
            <w:lang w:val="en-GB"/>
          </w:rPr>
          <w:t>eozuni@ubt.edu.al</w:t>
        </w:r>
      </w:hyperlink>
    </w:p>
    <w:p w14:paraId="12DF1982" w14:textId="77777777" w:rsidR="00EB60B4" w:rsidRPr="00EB60B4" w:rsidRDefault="00EB60B4" w:rsidP="00EB60B4">
      <w:pPr>
        <w:shd w:val="clear" w:color="auto" w:fill="FFFFFF"/>
        <w:spacing w:after="0" w:line="240" w:lineRule="auto"/>
        <w:jc w:val="center"/>
        <w:rPr>
          <w:rFonts w:ascii="Times New Roman" w:eastAsia="Times New Roman" w:hAnsi="Times New Roman" w:cs="Times New Roman"/>
          <w:b/>
          <w:bCs/>
          <w:color w:val="222222"/>
          <w:sz w:val="24"/>
          <w:szCs w:val="24"/>
          <w:lang w:val="en-GB"/>
        </w:rPr>
      </w:pPr>
      <w:r w:rsidRPr="00EB60B4">
        <w:rPr>
          <w:rFonts w:ascii="Times New Roman" w:eastAsia="Times New Roman" w:hAnsi="Times New Roman" w:cs="Times New Roman"/>
          <w:b/>
          <w:bCs/>
          <w:color w:val="222222"/>
          <w:sz w:val="24"/>
          <w:szCs w:val="24"/>
          <w:lang w:val="en-GB"/>
        </w:rPr>
        <w:t>Drini Imami</w:t>
      </w:r>
    </w:p>
    <w:p w14:paraId="13E25251" w14:textId="77777777" w:rsidR="00EB60B4" w:rsidRPr="00EB60B4" w:rsidRDefault="00EB60B4" w:rsidP="00EB60B4">
      <w:pPr>
        <w:spacing w:after="0"/>
        <w:jc w:val="center"/>
        <w:rPr>
          <w:rFonts w:ascii="Times New Roman" w:eastAsia="Calibri" w:hAnsi="Times New Roman" w:cs="Times New Roman"/>
          <w:color w:val="000000"/>
          <w:sz w:val="24"/>
          <w:szCs w:val="24"/>
          <w:highlight w:val="white"/>
          <w:lang w:val="en-GB"/>
        </w:rPr>
      </w:pPr>
      <w:r w:rsidRPr="00EB60B4">
        <w:rPr>
          <w:rFonts w:ascii="Times New Roman" w:eastAsia="Calibri" w:hAnsi="Times New Roman" w:cs="Times New Roman"/>
          <w:color w:val="000000"/>
          <w:sz w:val="24"/>
          <w:szCs w:val="24"/>
          <w:highlight w:val="white"/>
          <w:lang w:val="en-GB"/>
        </w:rPr>
        <w:t>Faculty of Economics and Agribusiness, Agriculture University of Tirana, Tirana, Albania.</w:t>
      </w:r>
    </w:p>
    <w:p w14:paraId="6C7CB458" w14:textId="77777777" w:rsidR="00EB60B4" w:rsidRPr="00EB60B4" w:rsidRDefault="00EB60B4" w:rsidP="00EB60B4">
      <w:pPr>
        <w:spacing w:after="120"/>
        <w:jc w:val="center"/>
        <w:rPr>
          <w:rFonts w:ascii="Times New Roman" w:eastAsia="Calibri" w:hAnsi="Times New Roman" w:cs="Times New Roman"/>
          <w:sz w:val="24"/>
          <w:szCs w:val="24"/>
          <w:lang w:val="en-GB"/>
        </w:rPr>
      </w:pPr>
      <w:r w:rsidRPr="00EB60B4">
        <w:rPr>
          <w:rFonts w:ascii="Times New Roman" w:eastAsia="Calibri" w:hAnsi="Times New Roman" w:cs="Times New Roman"/>
          <w:color w:val="000000"/>
          <w:sz w:val="24"/>
          <w:szCs w:val="24"/>
          <w:highlight w:val="white"/>
          <w:lang w:val="en-GB"/>
        </w:rPr>
        <w:t xml:space="preserve">E-mail: </w:t>
      </w:r>
      <w:hyperlink r:id="rId27" w:history="1">
        <w:r w:rsidRPr="00EB60B4">
          <w:rPr>
            <w:rFonts w:ascii="Times New Roman" w:eastAsia="Calibri" w:hAnsi="Times New Roman" w:cs="Times New Roman"/>
            <w:color w:val="0563C1"/>
            <w:sz w:val="24"/>
            <w:szCs w:val="24"/>
            <w:highlight w:val="white"/>
            <w:u w:val="single"/>
            <w:lang w:val="en-GB"/>
          </w:rPr>
          <w:t>dimami@ubt.edu.al</w:t>
        </w:r>
      </w:hyperlink>
    </w:p>
    <w:p w14:paraId="071F7E09" w14:textId="77777777" w:rsidR="00EB60B4" w:rsidRPr="00EB60B4" w:rsidRDefault="00EB60B4" w:rsidP="00EB60B4">
      <w:pPr>
        <w:spacing w:after="0"/>
        <w:jc w:val="center"/>
        <w:rPr>
          <w:rFonts w:ascii="Times New Roman" w:eastAsia="Calibri" w:hAnsi="Times New Roman" w:cs="Times New Roman"/>
          <w:color w:val="000000"/>
          <w:sz w:val="24"/>
          <w:szCs w:val="24"/>
          <w:highlight w:val="white"/>
          <w:lang w:val="en-GB"/>
        </w:rPr>
      </w:pPr>
    </w:p>
    <w:p w14:paraId="5E32C3E8" w14:textId="77777777" w:rsidR="00EB60B4" w:rsidRPr="00EB60B4" w:rsidRDefault="00EB60B4" w:rsidP="00EB60B4">
      <w:pPr>
        <w:shd w:val="clear" w:color="auto" w:fill="FFFFFF"/>
        <w:spacing w:before="100" w:beforeAutospacing="1" w:after="240" w:afterAutospacing="1" w:line="240" w:lineRule="auto"/>
        <w:rPr>
          <w:rFonts w:ascii="New" w:eastAsia="Times New Roman" w:hAnsi="New" w:cs="Helvetica"/>
          <w:color w:val="1D2228"/>
          <w:sz w:val="24"/>
          <w:szCs w:val="24"/>
          <w:lang w:val="en-GB"/>
        </w:rPr>
      </w:pPr>
    </w:p>
    <w:p w14:paraId="5C9294AA" w14:textId="77777777" w:rsidR="00EB60B4" w:rsidRPr="00EB60B4" w:rsidRDefault="00EB60B4" w:rsidP="00EB60B4">
      <w:pPr>
        <w:shd w:val="clear" w:color="auto" w:fill="FFFFFF"/>
        <w:spacing w:before="100" w:beforeAutospacing="1" w:after="240" w:afterAutospacing="1" w:line="240" w:lineRule="auto"/>
        <w:rPr>
          <w:rFonts w:ascii="New" w:eastAsia="Times New Roman" w:hAnsi="New" w:cs="Helvetica"/>
          <w:color w:val="1D2228"/>
          <w:sz w:val="24"/>
          <w:szCs w:val="24"/>
          <w:lang w:val="en-GB"/>
        </w:rPr>
      </w:pPr>
    </w:p>
    <w:p w14:paraId="7E5E217C" w14:textId="77777777" w:rsidR="00EB60B4" w:rsidRPr="00EB60B4" w:rsidRDefault="00EB60B4" w:rsidP="00EB60B4">
      <w:pPr>
        <w:shd w:val="clear" w:color="auto" w:fill="FFFFFF"/>
        <w:spacing w:before="120" w:after="120" w:line="276" w:lineRule="auto"/>
        <w:jc w:val="both"/>
        <w:rPr>
          <w:rFonts w:ascii="Times New Roman" w:eastAsia="Times New Roman" w:hAnsi="Times New Roman" w:cs="Times New Roman"/>
          <w:b/>
          <w:bCs/>
          <w:color w:val="1D2228"/>
          <w:sz w:val="28"/>
          <w:szCs w:val="28"/>
          <w:lang w:val="en-GB"/>
        </w:rPr>
      </w:pPr>
      <w:r w:rsidRPr="00EB60B4">
        <w:rPr>
          <w:rFonts w:ascii="Times New Roman" w:eastAsia="Times New Roman" w:hAnsi="Times New Roman" w:cs="Times New Roman"/>
          <w:b/>
          <w:bCs/>
          <w:color w:val="1D2228"/>
          <w:sz w:val="28"/>
          <w:szCs w:val="28"/>
          <w:lang w:val="en-GB"/>
        </w:rPr>
        <w:t xml:space="preserve">Abstract </w:t>
      </w:r>
    </w:p>
    <w:p w14:paraId="7C37892E" w14:textId="1863032F" w:rsidR="00EB60B4" w:rsidRPr="00EB60B4" w:rsidRDefault="00EB60B4" w:rsidP="00EB60B4">
      <w:pPr>
        <w:spacing w:before="120" w:after="120" w:line="276" w:lineRule="auto"/>
        <w:jc w:val="both"/>
        <w:rPr>
          <w:rFonts w:ascii="Times New Roman" w:eastAsia="Times New Roman" w:hAnsi="Times New Roman" w:cs="Times New Roman"/>
          <w:b/>
          <w:color w:val="1D2228"/>
          <w:sz w:val="24"/>
          <w:szCs w:val="24"/>
          <w:lang w:val="en-GB"/>
        </w:rPr>
      </w:pPr>
      <w:r w:rsidRPr="00EB60B4">
        <w:rPr>
          <w:rFonts w:ascii="Times New Roman" w:eastAsia="Calibri" w:hAnsi="Times New Roman" w:cs="Times New Roman"/>
          <w:sz w:val="24"/>
          <w:szCs w:val="24"/>
          <w:lang w:val="en-GB"/>
        </w:rPr>
        <w:t xml:space="preserve">One of the key factors influencing agrifood sector development remains access to finance. Literature confirms a strong association was seen between </w:t>
      </w:r>
      <w:r w:rsidR="005B5F8E">
        <w:rPr>
          <w:rFonts w:ascii="Times New Roman" w:eastAsia="Calibri" w:hAnsi="Times New Roman" w:cs="Times New Roman"/>
          <w:sz w:val="24"/>
          <w:szCs w:val="24"/>
          <w:lang w:val="en-GB"/>
        </w:rPr>
        <w:t xml:space="preserve">the </w:t>
      </w:r>
      <w:r w:rsidRPr="00EB60B4">
        <w:rPr>
          <w:rFonts w:ascii="Times New Roman" w:eastAsia="Calibri" w:hAnsi="Times New Roman" w:cs="Times New Roman"/>
          <w:sz w:val="24"/>
          <w:szCs w:val="24"/>
          <w:lang w:val="en-GB"/>
        </w:rPr>
        <w:t>level of financial literacy and education in several empirical studies. The</w:t>
      </w:r>
      <w:r w:rsidRPr="00EB60B4">
        <w:rPr>
          <w:rFonts w:ascii="Times New Roman" w:eastAsia="Calibri" w:hAnsi="Times New Roman" w:cs="Times New Roman"/>
          <w:color w:val="1D2228"/>
          <w:sz w:val="24"/>
          <w:szCs w:val="24"/>
          <w:lang w:val="en-GB"/>
        </w:rPr>
        <w:t xml:space="preserve"> paper </w:t>
      </w:r>
      <w:proofErr w:type="spellStart"/>
      <w:r w:rsidRPr="00EB60B4">
        <w:rPr>
          <w:rFonts w:ascii="Times New Roman" w:eastAsia="Calibri" w:hAnsi="Times New Roman" w:cs="Times New Roman"/>
          <w:color w:val="1D2228"/>
          <w:sz w:val="24"/>
          <w:szCs w:val="24"/>
          <w:lang w:val="en-GB"/>
        </w:rPr>
        <w:t>analyzes</w:t>
      </w:r>
      <w:proofErr w:type="spellEnd"/>
      <w:r w:rsidRPr="00EB60B4">
        <w:rPr>
          <w:rFonts w:ascii="Times New Roman" w:eastAsia="Calibri" w:hAnsi="Times New Roman" w:cs="Times New Roman"/>
          <w:color w:val="1D2228"/>
          <w:sz w:val="24"/>
          <w:szCs w:val="24"/>
          <w:lang w:val="en-GB"/>
        </w:rPr>
        <w:t xml:space="preserve"> the factors which determine farmers’ financial education, in the case of Kosovo, based on a structured farm survey focusing on the </w:t>
      </w:r>
      <w:r w:rsidR="005B5F8E">
        <w:rPr>
          <w:rFonts w:ascii="Times New Roman" w:eastAsia="Calibri" w:hAnsi="Times New Roman" w:cs="Times New Roman"/>
          <w:color w:val="1D2228"/>
          <w:sz w:val="24"/>
          <w:szCs w:val="24"/>
          <w:lang w:val="en-GB"/>
        </w:rPr>
        <w:t>vineyard</w:t>
      </w:r>
      <w:r w:rsidR="005B5F8E" w:rsidRPr="00EB60B4">
        <w:rPr>
          <w:rFonts w:ascii="Times New Roman" w:eastAsia="Calibri" w:hAnsi="Times New Roman" w:cs="Times New Roman"/>
          <w:color w:val="1D2228"/>
          <w:sz w:val="24"/>
          <w:szCs w:val="24"/>
          <w:lang w:val="en-GB"/>
        </w:rPr>
        <w:t xml:space="preserve"> </w:t>
      </w:r>
      <w:r w:rsidRPr="00EB60B4">
        <w:rPr>
          <w:rFonts w:ascii="Times New Roman" w:eastAsia="Calibri" w:hAnsi="Times New Roman" w:cs="Times New Roman"/>
          <w:color w:val="1D2228"/>
          <w:sz w:val="24"/>
          <w:szCs w:val="24"/>
          <w:lang w:val="en-GB"/>
        </w:rPr>
        <w:t>sector.  Survey analyses found that most</w:t>
      </w:r>
      <w:r w:rsidRPr="00EB60B4">
        <w:rPr>
          <w:rFonts w:ascii="Times New Roman" w:eastAsia="Calibri" w:hAnsi="Times New Roman" w:cs="Times New Roman"/>
          <w:sz w:val="24"/>
          <w:szCs w:val="24"/>
          <w:lang w:val="en-GB"/>
        </w:rPr>
        <w:t xml:space="preserve"> interviewed farmers do not keep records regarding costs and incomes. Market-oriented farmers who have contracts (with buyers) are more likely to keep financial records. Findings represent important evidence for policy interventions to be carried </w:t>
      </w:r>
      <w:r w:rsidR="005B5F8E">
        <w:rPr>
          <w:rFonts w:ascii="Times New Roman" w:eastAsia="Calibri" w:hAnsi="Times New Roman" w:cs="Times New Roman"/>
          <w:sz w:val="24"/>
          <w:szCs w:val="24"/>
          <w:lang w:val="en-GB"/>
        </w:rPr>
        <w:t xml:space="preserve">out </w:t>
      </w:r>
      <w:r w:rsidRPr="00EB60B4">
        <w:rPr>
          <w:rFonts w:ascii="Times New Roman" w:eastAsia="Calibri" w:hAnsi="Times New Roman" w:cs="Times New Roman"/>
          <w:sz w:val="24"/>
          <w:szCs w:val="24"/>
          <w:lang w:val="en-GB"/>
        </w:rPr>
        <w:t xml:space="preserve">both on advisory services as well as financial institutions in order to strengthen financial literacy among agriculture operators and address gaps in the financial market. </w:t>
      </w:r>
    </w:p>
    <w:p w14:paraId="7996A2B8" w14:textId="297DE164" w:rsidR="00EB60B4" w:rsidRPr="00EB60B4" w:rsidRDefault="005B5F8E" w:rsidP="00EB60B4">
      <w:pPr>
        <w:shd w:val="clear" w:color="auto" w:fill="FFFFFF"/>
        <w:spacing w:before="120" w:after="120" w:line="276" w:lineRule="auto"/>
        <w:jc w:val="both"/>
        <w:rPr>
          <w:rFonts w:ascii="Times New Roman" w:eastAsia="Times New Roman" w:hAnsi="Times New Roman" w:cs="Times New Roman"/>
          <w:color w:val="1D2228"/>
          <w:sz w:val="24"/>
          <w:szCs w:val="24"/>
          <w:lang w:val="en-GB"/>
        </w:rPr>
      </w:pPr>
      <w:r>
        <w:rPr>
          <w:rFonts w:ascii="Times New Roman" w:eastAsia="Times New Roman" w:hAnsi="Times New Roman" w:cs="Times New Roman"/>
          <w:b/>
          <w:color w:val="1D2228"/>
          <w:sz w:val="24"/>
          <w:szCs w:val="24"/>
          <w:lang w:val="en-GB"/>
        </w:rPr>
        <w:t>Keywords</w:t>
      </w:r>
      <w:r w:rsidR="00EB60B4" w:rsidRPr="00EB60B4">
        <w:rPr>
          <w:rFonts w:ascii="Times New Roman" w:eastAsia="Times New Roman" w:hAnsi="Times New Roman" w:cs="Times New Roman"/>
          <w:b/>
          <w:color w:val="1D2228"/>
          <w:sz w:val="24"/>
          <w:szCs w:val="24"/>
          <w:lang w:val="en-GB"/>
        </w:rPr>
        <w:t>:</w:t>
      </w:r>
      <w:r w:rsidR="00EB60B4" w:rsidRPr="00EB60B4">
        <w:rPr>
          <w:rFonts w:ascii="Times New Roman" w:eastAsia="Times New Roman" w:hAnsi="Times New Roman" w:cs="Times New Roman"/>
          <w:color w:val="1D2228"/>
          <w:sz w:val="24"/>
          <w:szCs w:val="24"/>
          <w:lang w:val="en-GB"/>
        </w:rPr>
        <w:t xml:space="preserve"> farmer’s financial education, cost and revenue records, Kosovo, vineyard</w:t>
      </w:r>
    </w:p>
    <w:p w14:paraId="22ED542C" w14:textId="77777777" w:rsidR="00EB60B4" w:rsidRPr="00EB60B4" w:rsidRDefault="00EB60B4" w:rsidP="00EB60B4">
      <w:pPr>
        <w:shd w:val="clear" w:color="auto" w:fill="FFFFFF"/>
        <w:spacing w:before="120" w:after="120" w:line="276" w:lineRule="auto"/>
        <w:jc w:val="both"/>
        <w:rPr>
          <w:rFonts w:ascii="Times New Roman" w:eastAsia="Times New Roman" w:hAnsi="Times New Roman" w:cs="Times New Roman"/>
          <w:color w:val="1D2228"/>
          <w:sz w:val="24"/>
          <w:szCs w:val="24"/>
          <w:lang w:val="en-GB"/>
        </w:rPr>
      </w:pPr>
      <w:r w:rsidRPr="00EB60B4">
        <w:rPr>
          <w:rFonts w:ascii="Times New Roman" w:eastAsia="Times New Roman" w:hAnsi="Times New Roman" w:cs="Times New Roman"/>
          <w:b/>
          <w:color w:val="1D2228"/>
          <w:sz w:val="24"/>
          <w:szCs w:val="24"/>
          <w:lang w:val="en-GB"/>
        </w:rPr>
        <w:t>JEL code:</w:t>
      </w:r>
      <w:r w:rsidRPr="00EB60B4">
        <w:rPr>
          <w:rFonts w:ascii="Times New Roman" w:eastAsia="Times New Roman" w:hAnsi="Times New Roman" w:cs="Times New Roman"/>
          <w:sz w:val="24"/>
          <w:szCs w:val="24"/>
          <w:lang w:val="en-GB"/>
        </w:rPr>
        <w:t xml:space="preserve"> Q12 </w:t>
      </w:r>
    </w:p>
    <w:p w14:paraId="05C2E20C" w14:textId="77777777" w:rsidR="00EB60B4" w:rsidRPr="00EB60B4" w:rsidRDefault="00EB60B4" w:rsidP="00EB60B4">
      <w:pPr>
        <w:rPr>
          <w:rFonts w:ascii="Times New Roman" w:eastAsia="Calibri" w:hAnsi="Times New Roman" w:cs="Times New Roman"/>
          <w:b/>
          <w:sz w:val="28"/>
          <w:szCs w:val="28"/>
          <w:lang w:val="en-GB"/>
        </w:rPr>
      </w:pPr>
    </w:p>
    <w:p w14:paraId="20669378" w14:textId="77777777" w:rsidR="00EB60B4" w:rsidRPr="00EB60B4" w:rsidRDefault="00EB60B4" w:rsidP="00EB60B4">
      <w:pPr>
        <w:rPr>
          <w:rFonts w:ascii="Times New Roman" w:eastAsia="Calibri" w:hAnsi="Times New Roman" w:cs="Times New Roman"/>
          <w:b/>
          <w:sz w:val="24"/>
          <w:szCs w:val="24"/>
          <w:lang w:val="en-GB"/>
        </w:rPr>
      </w:pPr>
    </w:p>
    <w:p w14:paraId="1A342369" w14:textId="77777777" w:rsidR="00EB60B4" w:rsidRPr="00EB60B4" w:rsidRDefault="00EB60B4" w:rsidP="00EB60B4">
      <w:pPr>
        <w:ind w:left="360"/>
        <w:rPr>
          <w:rFonts w:ascii="Times New Roman" w:eastAsia="Calibri" w:hAnsi="Times New Roman" w:cs="Times New Roman"/>
          <w:b/>
          <w:sz w:val="24"/>
          <w:szCs w:val="24"/>
          <w:lang w:val="en-GB"/>
        </w:rPr>
      </w:pPr>
    </w:p>
    <w:p w14:paraId="5D3F2B30" w14:textId="77777777" w:rsidR="00EB60B4" w:rsidRPr="00EB60B4" w:rsidRDefault="00EB60B4" w:rsidP="00EB60B4">
      <w:pPr>
        <w:ind w:left="360"/>
        <w:rPr>
          <w:rFonts w:ascii="Times New Roman" w:eastAsia="Calibri" w:hAnsi="Times New Roman" w:cs="Times New Roman"/>
          <w:b/>
          <w:sz w:val="24"/>
          <w:szCs w:val="24"/>
          <w:lang w:val="en-GB"/>
        </w:rPr>
      </w:pPr>
    </w:p>
    <w:p w14:paraId="5B68CB8B" w14:textId="77777777" w:rsidR="00EB60B4" w:rsidRPr="00EB60B4" w:rsidRDefault="00EB60B4" w:rsidP="00EB60B4">
      <w:pPr>
        <w:ind w:left="360"/>
        <w:rPr>
          <w:rFonts w:ascii="Times New Roman" w:eastAsia="Calibri" w:hAnsi="Times New Roman" w:cs="Times New Roman"/>
          <w:b/>
          <w:sz w:val="24"/>
          <w:szCs w:val="24"/>
          <w:lang w:val="en-GB"/>
        </w:rPr>
      </w:pPr>
    </w:p>
    <w:p w14:paraId="5E557E0B" w14:textId="77777777" w:rsidR="00EB60B4" w:rsidRPr="00EB60B4" w:rsidRDefault="00EB60B4" w:rsidP="00EB60B4">
      <w:pPr>
        <w:rPr>
          <w:rFonts w:ascii="Times New Roman" w:eastAsia="Calibri" w:hAnsi="Times New Roman" w:cs="Times New Roman"/>
          <w:highlight w:val="yellow"/>
          <w:lang w:val="en-GB"/>
        </w:rPr>
      </w:pPr>
    </w:p>
    <w:p w14:paraId="10D15114" w14:textId="77777777" w:rsidR="00EB60B4" w:rsidRPr="00EB60B4" w:rsidRDefault="00EB60B4" w:rsidP="00EB60B4">
      <w:pPr>
        <w:rPr>
          <w:rFonts w:ascii="Times New Roman" w:eastAsia="Calibri" w:hAnsi="Times New Roman" w:cs="Times New Roman"/>
          <w:highlight w:val="yellow"/>
          <w:lang w:val="en-GB"/>
        </w:rPr>
      </w:pPr>
    </w:p>
    <w:p w14:paraId="49202104" w14:textId="77777777" w:rsidR="00EB60B4" w:rsidRPr="00EB60B4" w:rsidRDefault="00EB60B4" w:rsidP="00EB60B4">
      <w:pPr>
        <w:numPr>
          <w:ilvl w:val="0"/>
          <w:numId w:val="5"/>
        </w:numPr>
        <w:contextualSpacing/>
        <w:jc w:val="both"/>
        <w:rPr>
          <w:rFonts w:ascii="Times New Roman" w:eastAsia="Calibri" w:hAnsi="Times New Roman" w:cs="Times New Roman"/>
          <w:b/>
          <w:sz w:val="28"/>
          <w:szCs w:val="28"/>
          <w:lang w:val="en-GB"/>
        </w:rPr>
      </w:pPr>
      <w:r w:rsidRPr="00EB60B4">
        <w:rPr>
          <w:rFonts w:ascii="Times New Roman" w:eastAsia="Calibri" w:hAnsi="Times New Roman" w:cs="Times New Roman"/>
          <w:b/>
          <w:sz w:val="28"/>
          <w:szCs w:val="28"/>
          <w:lang w:val="en-GB"/>
        </w:rPr>
        <w:lastRenderedPageBreak/>
        <w:t xml:space="preserve">Introduction </w:t>
      </w:r>
    </w:p>
    <w:p w14:paraId="709F6B7E" w14:textId="5D3C7F76" w:rsidR="00EB60B4" w:rsidRPr="00EB60B4" w:rsidRDefault="00EB60B4" w:rsidP="00EB60B4">
      <w:pPr>
        <w:autoSpaceDE w:val="0"/>
        <w:autoSpaceDN w:val="0"/>
        <w:adjustRightInd w:val="0"/>
        <w:spacing w:before="120" w:after="120" w:line="276" w:lineRule="auto"/>
        <w:jc w:val="both"/>
        <w:rPr>
          <w:rFonts w:ascii="Times New Roman" w:eastAsia="Calibri" w:hAnsi="Times New Roman" w:cs="Times New Roman"/>
          <w:color w:val="000000"/>
          <w:sz w:val="24"/>
          <w:szCs w:val="24"/>
          <w:lang w:val="en-GB"/>
        </w:rPr>
      </w:pPr>
      <w:r w:rsidRPr="00EB60B4">
        <w:rPr>
          <w:rFonts w:ascii="Times New Roman" w:eastAsia="Calibri" w:hAnsi="Times New Roman" w:cs="Times New Roman"/>
          <w:bCs/>
          <w:color w:val="000000"/>
          <w:sz w:val="24"/>
          <w:szCs w:val="24"/>
          <w:lang w:val="en-GB"/>
        </w:rPr>
        <w:t xml:space="preserve">Kosovo is situated in the Western Balkans, with a population of 1.8 million. About half of the population lives in rural areas. Kosovo was a centrally planned economy under Yugoslavia until </w:t>
      </w:r>
      <w:r w:rsidR="005B5F8E">
        <w:rPr>
          <w:rFonts w:ascii="Times New Roman" w:eastAsia="Calibri" w:hAnsi="Times New Roman" w:cs="Times New Roman"/>
          <w:bCs/>
          <w:color w:val="000000"/>
          <w:sz w:val="24"/>
          <w:szCs w:val="24"/>
          <w:lang w:val="en-GB"/>
        </w:rPr>
        <w:t xml:space="preserve">the </w:t>
      </w:r>
      <w:r w:rsidRPr="00EB60B4">
        <w:rPr>
          <w:rFonts w:ascii="Times New Roman" w:eastAsia="Calibri" w:hAnsi="Times New Roman" w:cs="Times New Roman"/>
          <w:bCs/>
          <w:color w:val="000000"/>
          <w:sz w:val="24"/>
          <w:szCs w:val="24"/>
          <w:lang w:val="en-GB"/>
        </w:rPr>
        <w:t xml:space="preserve">late 1980s, while it underwent a notorious conflict which resulted also </w:t>
      </w:r>
      <w:proofErr w:type="gramStart"/>
      <w:r w:rsidRPr="00EB60B4">
        <w:rPr>
          <w:rFonts w:ascii="Times New Roman" w:eastAsia="Calibri" w:hAnsi="Times New Roman" w:cs="Times New Roman"/>
          <w:bCs/>
          <w:color w:val="000000"/>
          <w:sz w:val="24"/>
          <w:szCs w:val="24"/>
          <w:lang w:val="en-GB"/>
        </w:rPr>
        <w:t>in  heavy</w:t>
      </w:r>
      <w:proofErr w:type="gramEnd"/>
      <w:r w:rsidRPr="00EB60B4">
        <w:rPr>
          <w:rFonts w:ascii="Times New Roman" w:eastAsia="Calibri" w:hAnsi="Times New Roman" w:cs="Times New Roman"/>
          <w:bCs/>
          <w:color w:val="000000"/>
          <w:sz w:val="24"/>
          <w:szCs w:val="24"/>
          <w:lang w:val="en-GB"/>
        </w:rPr>
        <w:t xml:space="preserve"> damage of the agriculture sector including also vineyards. Kosovo emerged as an independent country in the following decade</w:t>
      </w:r>
      <w:r w:rsidRPr="00EB60B4">
        <w:rPr>
          <w:rFonts w:ascii="Times New Roman" w:eastAsia="Calibri" w:hAnsi="Times New Roman" w:cs="Times New Roman"/>
          <w:color w:val="000000"/>
          <w:sz w:val="24"/>
          <w:szCs w:val="24"/>
          <w:lang w:val="en-GB"/>
        </w:rPr>
        <w:t xml:space="preserve"> (FAO, 2016). </w:t>
      </w:r>
    </w:p>
    <w:p w14:paraId="2EEBC732" w14:textId="74F2AC4D" w:rsidR="00EB60B4" w:rsidRPr="00EB60B4" w:rsidRDefault="00EB60B4" w:rsidP="00EB60B4">
      <w:pPr>
        <w:autoSpaceDE w:val="0"/>
        <w:autoSpaceDN w:val="0"/>
        <w:adjustRightInd w:val="0"/>
        <w:spacing w:before="120" w:after="120" w:line="276" w:lineRule="auto"/>
        <w:jc w:val="both"/>
        <w:rPr>
          <w:rFonts w:ascii="Times New Roman" w:eastAsia="Calibri" w:hAnsi="Times New Roman" w:cs="Times New Roman"/>
          <w:color w:val="000000"/>
          <w:sz w:val="24"/>
          <w:szCs w:val="24"/>
          <w:lang w:val="en-GB"/>
        </w:rPr>
      </w:pPr>
      <w:r w:rsidRPr="00EB60B4">
        <w:rPr>
          <w:rFonts w:ascii="Times New Roman" w:eastAsia="Calibri" w:hAnsi="Times New Roman" w:cs="Times New Roman"/>
          <w:color w:val="000000"/>
          <w:sz w:val="24"/>
          <w:szCs w:val="24"/>
          <w:lang w:val="en-GB"/>
        </w:rPr>
        <w:t xml:space="preserve">Kosovo has been facing the challenges of strengthening institutions, adapting to free market economy demands, and attracting investments. The agri-food sector as a whole is facing problems with creating market institutions, establishing marketing and distribution chains, meeting EU food safety standards. The agrifood value chain is expected to change substantially in the coming years and the competition from </w:t>
      </w:r>
      <w:proofErr w:type="spellStart"/>
      <w:r w:rsidRPr="00EB60B4">
        <w:rPr>
          <w:rFonts w:ascii="Times New Roman" w:eastAsia="Calibri" w:hAnsi="Times New Roman" w:cs="Times New Roman"/>
          <w:color w:val="000000"/>
          <w:sz w:val="24"/>
          <w:szCs w:val="24"/>
          <w:lang w:val="en-GB"/>
        </w:rPr>
        <w:t>neighboring</w:t>
      </w:r>
      <w:proofErr w:type="spellEnd"/>
      <w:r w:rsidRPr="00EB60B4">
        <w:rPr>
          <w:rFonts w:ascii="Times New Roman" w:eastAsia="Calibri" w:hAnsi="Times New Roman" w:cs="Times New Roman"/>
          <w:color w:val="000000"/>
          <w:sz w:val="24"/>
          <w:szCs w:val="24"/>
          <w:lang w:val="en-GB"/>
        </w:rPr>
        <w:t xml:space="preserve"> countries will increase in the context of regional and EU integration (Xhoxhi and Imami, 2021) – that is crucial also for the wine sector given that it is very competitive.</w:t>
      </w:r>
    </w:p>
    <w:p w14:paraId="57C7B7D4" w14:textId="68604E43" w:rsidR="00EB60B4" w:rsidRPr="00EB60B4" w:rsidRDefault="00EB60B4" w:rsidP="00EB60B4">
      <w:pPr>
        <w:autoSpaceDE w:val="0"/>
        <w:autoSpaceDN w:val="0"/>
        <w:adjustRightInd w:val="0"/>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sz w:val="24"/>
          <w:szCs w:val="24"/>
          <w:lang w:val="en-GB"/>
        </w:rPr>
        <w:t>Wine production and vineyards growing is one of the most important agri-food sectors in Kosovo in terms of production and international trade - Kosovo’s wine industry has had a strong export orientation (</w:t>
      </w:r>
      <w:proofErr w:type="spellStart"/>
      <w:r w:rsidRPr="00EB60B4">
        <w:rPr>
          <w:rFonts w:ascii="Times New Roman" w:eastAsia="Calibri" w:hAnsi="Times New Roman" w:cs="Times New Roman"/>
          <w:sz w:val="24"/>
          <w:szCs w:val="24"/>
          <w:lang w:val="en-GB"/>
        </w:rPr>
        <w:t>Miftari</w:t>
      </w:r>
      <w:proofErr w:type="spellEnd"/>
      <w:r w:rsidRPr="00EB60B4">
        <w:rPr>
          <w:rFonts w:ascii="Times New Roman" w:eastAsia="Calibri" w:hAnsi="Times New Roman" w:cs="Times New Roman"/>
          <w:sz w:val="24"/>
          <w:szCs w:val="24"/>
          <w:lang w:val="en-GB"/>
        </w:rPr>
        <w:t xml:space="preserve"> et al, 2021). After the conflict, there was growing interest in the sector by private business, and significant support from government and donors. The local industry is struggling to keep its presence in the export market (targeting </w:t>
      </w:r>
      <w:proofErr w:type="spellStart"/>
      <w:r w:rsidR="00C603A7" w:rsidRPr="00EB60B4">
        <w:rPr>
          <w:rFonts w:ascii="Times New Roman" w:eastAsia="Calibri" w:hAnsi="Times New Roman" w:cs="Times New Roman"/>
          <w:sz w:val="24"/>
          <w:szCs w:val="24"/>
          <w:lang w:val="en-GB"/>
        </w:rPr>
        <w:t>neighboring</w:t>
      </w:r>
      <w:proofErr w:type="spellEnd"/>
      <w:r w:rsidRPr="00EB60B4">
        <w:rPr>
          <w:rFonts w:ascii="Times New Roman" w:eastAsia="Calibri" w:hAnsi="Times New Roman" w:cs="Times New Roman"/>
          <w:sz w:val="24"/>
          <w:szCs w:val="24"/>
          <w:lang w:val="en-GB"/>
        </w:rPr>
        <w:t xml:space="preserve"> countries, notably Albania), while growing its sales in the small but growing local market. Being a transition economy, Kosovo household income and lifestyles are changing fast implying higher demand for (quality) wine (Zhllima et </w:t>
      </w:r>
      <w:r w:rsidRPr="00EB60B4">
        <w:rPr>
          <w:rFonts w:ascii="Times New Roman" w:eastAsia="Calibri" w:hAnsi="Times New Roman" w:cs="Times New Roman"/>
          <w:color w:val="1D2228"/>
          <w:sz w:val="24"/>
          <w:szCs w:val="24"/>
          <w:lang w:val="en-GB"/>
        </w:rPr>
        <w:t>al, 2020).  Thus, achieving high quality not only is important to improve overall market access, but is crucial to reach higher</w:t>
      </w:r>
      <w:r w:rsidR="005B5F8E">
        <w:rPr>
          <w:rFonts w:ascii="Times New Roman" w:eastAsia="Calibri" w:hAnsi="Times New Roman" w:cs="Times New Roman"/>
          <w:color w:val="1D2228"/>
          <w:sz w:val="24"/>
          <w:szCs w:val="24"/>
          <w:lang w:val="en-GB"/>
        </w:rPr>
        <w:t>-</w:t>
      </w:r>
      <w:r w:rsidRPr="00EB60B4">
        <w:rPr>
          <w:rFonts w:ascii="Times New Roman" w:eastAsia="Calibri" w:hAnsi="Times New Roman" w:cs="Times New Roman"/>
          <w:color w:val="1D2228"/>
          <w:sz w:val="24"/>
          <w:szCs w:val="24"/>
          <w:lang w:val="en-GB"/>
        </w:rPr>
        <w:t xml:space="preserve">paying consumers who are quality rather than price sensitive. </w:t>
      </w:r>
    </w:p>
    <w:p w14:paraId="23E42519" w14:textId="183BDF34" w:rsidR="00EB60B4" w:rsidRPr="00EB60B4" w:rsidRDefault="00EB60B4" w:rsidP="00EB60B4">
      <w:pPr>
        <w:autoSpaceDE w:val="0"/>
        <w:autoSpaceDN w:val="0"/>
        <w:adjustRightInd w:val="0"/>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color w:val="1D2228"/>
          <w:sz w:val="24"/>
          <w:szCs w:val="24"/>
          <w:lang w:val="en-GB"/>
        </w:rPr>
        <w:t xml:space="preserve">One of the key factors influencing sector process is investments which is conditional to access to finance.  On the other hand, access to finance is linked to </w:t>
      </w:r>
      <w:r w:rsidRPr="00EB60B4">
        <w:rPr>
          <w:rFonts w:ascii="Times New Roman" w:eastAsia="Calibri" w:hAnsi="Times New Roman" w:cs="Times New Roman"/>
          <w:sz w:val="24"/>
          <w:szCs w:val="24"/>
          <w:lang w:val="en-GB"/>
        </w:rPr>
        <w:t>f</w:t>
      </w:r>
      <w:r w:rsidRPr="00EB60B4">
        <w:rPr>
          <w:rFonts w:ascii="Times New Roman" w:eastAsia="Calibri" w:hAnsi="Times New Roman" w:cs="Times New Roman"/>
          <w:color w:val="1D2228"/>
          <w:sz w:val="24"/>
          <w:szCs w:val="24"/>
          <w:lang w:val="en-GB"/>
        </w:rPr>
        <w:t>inancial literacy. </w:t>
      </w:r>
      <w:proofErr w:type="spellStart"/>
      <w:r w:rsidRPr="00EB60B4">
        <w:rPr>
          <w:rFonts w:ascii="Times New Roman" w:eastAsia="Calibri" w:hAnsi="Times New Roman" w:cs="Times New Roman"/>
          <w:color w:val="1D2228"/>
          <w:sz w:val="24"/>
          <w:szCs w:val="24"/>
          <w:lang w:val="en-GB"/>
        </w:rPr>
        <w:t>Widhiyanto</w:t>
      </w:r>
      <w:proofErr w:type="spellEnd"/>
      <w:r w:rsidRPr="00EB60B4">
        <w:rPr>
          <w:rFonts w:ascii="Times New Roman" w:eastAsia="Calibri" w:hAnsi="Times New Roman" w:cs="Times New Roman"/>
          <w:color w:val="1D2228"/>
          <w:sz w:val="24"/>
          <w:szCs w:val="24"/>
          <w:lang w:val="en-GB"/>
        </w:rPr>
        <w:t xml:space="preserve"> et al (2018</w:t>
      </w:r>
      <w:proofErr w:type="gramStart"/>
      <w:r w:rsidRPr="00EB60B4">
        <w:rPr>
          <w:rFonts w:ascii="Times New Roman" w:eastAsia="Calibri" w:hAnsi="Times New Roman" w:cs="Times New Roman"/>
          <w:color w:val="1D2228"/>
          <w:sz w:val="24"/>
          <w:szCs w:val="24"/>
          <w:lang w:val="en-GB"/>
        </w:rPr>
        <w:t>)  find</w:t>
      </w:r>
      <w:proofErr w:type="gramEnd"/>
      <w:r w:rsidRPr="00EB60B4">
        <w:rPr>
          <w:rFonts w:ascii="Times New Roman" w:eastAsia="Calibri" w:hAnsi="Times New Roman" w:cs="Times New Roman"/>
          <w:color w:val="1D2228"/>
          <w:sz w:val="24"/>
          <w:szCs w:val="24"/>
          <w:lang w:val="en-GB"/>
        </w:rPr>
        <w:t xml:space="preserve"> that financial literacy is a highly important factor for credit accessibility. For instance in Kosovo, </w:t>
      </w:r>
      <w:proofErr w:type="spellStart"/>
      <w:r w:rsidRPr="00EB60B4">
        <w:rPr>
          <w:rFonts w:ascii="Times New Roman" w:eastAsia="Calibri" w:hAnsi="Times New Roman" w:cs="Times New Roman"/>
          <w:color w:val="1D2228"/>
          <w:sz w:val="24"/>
          <w:szCs w:val="24"/>
          <w:lang w:val="en-GB"/>
        </w:rPr>
        <w:t>Gashi</w:t>
      </w:r>
      <w:proofErr w:type="spellEnd"/>
      <w:r w:rsidRPr="00EB60B4">
        <w:rPr>
          <w:rFonts w:ascii="Times New Roman" w:eastAsia="Calibri" w:hAnsi="Times New Roman" w:cs="Times New Roman"/>
          <w:color w:val="1D2228"/>
          <w:sz w:val="24"/>
          <w:szCs w:val="24"/>
          <w:lang w:val="en-GB"/>
        </w:rPr>
        <w:t xml:space="preserve"> (2019) suggests that one of the factors of limited access to finance in agriculture in </w:t>
      </w:r>
      <w:proofErr w:type="gramStart"/>
      <w:r w:rsidRPr="00EB60B4">
        <w:rPr>
          <w:rFonts w:ascii="Times New Roman" w:eastAsia="Calibri" w:hAnsi="Times New Roman" w:cs="Times New Roman"/>
          <w:color w:val="1D2228"/>
          <w:sz w:val="24"/>
          <w:szCs w:val="24"/>
          <w:lang w:val="en-GB"/>
        </w:rPr>
        <w:t>Kosovo  is</w:t>
      </w:r>
      <w:proofErr w:type="gramEnd"/>
      <w:r w:rsidRPr="00EB60B4">
        <w:rPr>
          <w:rFonts w:ascii="Times New Roman" w:eastAsia="Calibri" w:hAnsi="Times New Roman" w:cs="Times New Roman"/>
          <w:color w:val="1D2228"/>
          <w:sz w:val="24"/>
          <w:szCs w:val="24"/>
          <w:lang w:val="en-GB"/>
        </w:rPr>
        <w:t xml:space="preserve"> the scarce financial education of agricultural clients (capacity restriction), which jointly hampers access to finance vis a vis affordability contains and availability restrictions. Previous research has shown that financial literacy has </w:t>
      </w:r>
      <w:r w:rsidR="00BA3A02">
        <w:rPr>
          <w:rFonts w:ascii="Times New Roman" w:eastAsia="Calibri" w:hAnsi="Times New Roman" w:cs="Times New Roman"/>
          <w:color w:val="1D2228"/>
          <w:sz w:val="24"/>
          <w:szCs w:val="24"/>
          <w:lang w:val="en-GB"/>
        </w:rPr>
        <w:t xml:space="preserve">a </w:t>
      </w:r>
      <w:r w:rsidRPr="00EB60B4">
        <w:rPr>
          <w:rFonts w:ascii="Times New Roman" w:eastAsia="Calibri" w:hAnsi="Times New Roman" w:cs="Times New Roman"/>
          <w:color w:val="1D2228"/>
          <w:sz w:val="24"/>
          <w:szCs w:val="24"/>
          <w:lang w:val="en-GB"/>
        </w:rPr>
        <w:t xml:space="preserve">moderating influence on the relationship between access to finance and firm growth. </w:t>
      </w:r>
    </w:p>
    <w:p w14:paraId="026FE4D6" w14:textId="4BEE8F3A" w:rsidR="00EB60B4" w:rsidRPr="00EB60B4" w:rsidRDefault="00EB60B4" w:rsidP="00EB60B4">
      <w:pPr>
        <w:autoSpaceDE w:val="0"/>
        <w:autoSpaceDN w:val="0"/>
        <w:adjustRightInd w:val="0"/>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color w:val="1D2228"/>
          <w:sz w:val="24"/>
          <w:szCs w:val="24"/>
          <w:lang w:val="en-GB"/>
        </w:rPr>
        <w:t xml:space="preserve">This paper </w:t>
      </w:r>
      <w:proofErr w:type="spellStart"/>
      <w:r w:rsidRPr="00EB60B4">
        <w:rPr>
          <w:rFonts w:ascii="Times New Roman" w:eastAsia="Calibri" w:hAnsi="Times New Roman" w:cs="Times New Roman"/>
          <w:color w:val="1D2228"/>
          <w:sz w:val="24"/>
          <w:szCs w:val="24"/>
          <w:lang w:val="en-GB"/>
        </w:rPr>
        <w:t>analyzes</w:t>
      </w:r>
      <w:proofErr w:type="spellEnd"/>
      <w:r w:rsidRPr="00EB60B4">
        <w:rPr>
          <w:rFonts w:ascii="Times New Roman" w:eastAsia="Calibri" w:hAnsi="Times New Roman" w:cs="Times New Roman"/>
          <w:color w:val="1D2228"/>
          <w:sz w:val="24"/>
          <w:szCs w:val="24"/>
          <w:lang w:val="en-GB"/>
        </w:rPr>
        <w:t xml:space="preserve"> the factors which determine farmers’ financial education, in the case of Kosovo, based on a structured farm survey focusing on the </w:t>
      </w:r>
      <w:r w:rsidR="00BA3A02">
        <w:rPr>
          <w:rFonts w:ascii="Times New Roman" w:eastAsia="Calibri" w:hAnsi="Times New Roman" w:cs="Times New Roman"/>
          <w:color w:val="1D2228"/>
          <w:sz w:val="24"/>
          <w:szCs w:val="24"/>
          <w:lang w:val="en-GB"/>
        </w:rPr>
        <w:t>vineyard</w:t>
      </w:r>
      <w:r w:rsidR="00BA3A02" w:rsidRPr="00EB60B4">
        <w:rPr>
          <w:rFonts w:ascii="Times New Roman" w:eastAsia="Calibri" w:hAnsi="Times New Roman" w:cs="Times New Roman"/>
          <w:color w:val="1D2228"/>
          <w:sz w:val="24"/>
          <w:szCs w:val="24"/>
          <w:lang w:val="en-GB"/>
        </w:rPr>
        <w:t xml:space="preserve"> </w:t>
      </w:r>
      <w:r w:rsidRPr="00EB60B4">
        <w:rPr>
          <w:rFonts w:ascii="Times New Roman" w:eastAsia="Calibri" w:hAnsi="Times New Roman" w:cs="Times New Roman"/>
          <w:color w:val="1D2228"/>
          <w:sz w:val="24"/>
          <w:szCs w:val="24"/>
          <w:lang w:val="en-GB"/>
        </w:rPr>
        <w:t xml:space="preserve">sector.   The literature on Kosovo is very limited. Scholars estimating financial illiteracy were focused on other groups of society. </w:t>
      </w:r>
      <w:proofErr w:type="spellStart"/>
      <w:r w:rsidRPr="00EB60B4">
        <w:rPr>
          <w:rFonts w:ascii="Times New Roman" w:eastAsia="Calibri" w:hAnsi="Times New Roman" w:cs="Times New Roman"/>
          <w:color w:val="1D2228"/>
          <w:sz w:val="24"/>
          <w:szCs w:val="24"/>
          <w:lang w:val="en-GB"/>
        </w:rPr>
        <w:t>Lulaj</w:t>
      </w:r>
      <w:proofErr w:type="spellEnd"/>
      <w:r w:rsidRPr="00EB60B4">
        <w:rPr>
          <w:rFonts w:ascii="Times New Roman" w:eastAsia="Calibri" w:hAnsi="Times New Roman" w:cs="Times New Roman"/>
          <w:color w:val="1D2228"/>
          <w:sz w:val="24"/>
          <w:szCs w:val="24"/>
          <w:lang w:val="en-GB"/>
        </w:rPr>
        <w:t xml:space="preserve"> et al (2021) observed a lack of financial behaviour to save for emergencies. </w:t>
      </w:r>
      <w:proofErr w:type="spellStart"/>
      <w:r w:rsidRPr="00EB60B4">
        <w:rPr>
          <w:rFonts w:ascii="Times New Roman" w:eastAsia="Calibri" w:hAnsi="Times New Roman" w:cs="Times New Roman"/>
          <w:color w:val="1D2228"/>
          <w:sz w:val="24"/>
          <w:szCs w:val="24"/>
          <w:lang w:val="en-GB"/>
        </w:rPr>
        <w:t>Zeqiri</w:t>
      </w:r>
      <w:proofErr w:type="spellEnd"/>
      <w:r w:rsidRPr="00EB60B4">
        <w:rPr>
          <w:rFonts w:ascii="Times New Roman" w:eastAsia="Calibri" w:hAnsi="Times New Roman" w:cs="Times New Roman"/>
          <w:color w:val="1D2228"/>
          <w:sz w:val="24"/>
          <w:szCs w:val="24"/>
          <w:lang w:val="en-GB"/>
        </w:rPr>
        <w:t xml:space="preserve"> et al (2016) studied farmers education, but neglecting financial education. Yildirim and </w:t>
      </w:r>
      <w:proofErr w:type="spellStart"/>
      <w:r w:rsidRPr="00EB60B4">
        <w:rPr>
          <w:rFonts w:ascii="Times New Roman" w:eastAsia="Calibri" w:hAnsi="Times New Roman" w:cs="Times New Roman"/>
          <w:color w:val="1D2228"/>
          <w:sz w:val="24"/>
          <w:szCs w:val="24"/>
          <w:lang w:val="en-GB"/>
        </w:rPr>
        <w:t>Vardari</w:t>
      </w:r>
      <w:proofErr w:type="spellEnd"/>
      <w:r w:rsidRPr="00EB60B4">
        <w:rPr>
          <w:rFonts w:ascii="Times New Roman" w:eastAsia="Calibri" w:hAnsi="Times New Roman" w:cs="Times New Roman"/>
          <w:color w:val="1D2228"/>
          <w:sz w:val="24"/>
          <w:szCs w:val="24"/>
          <w:lang w:val="en-GB"/>
        </w:rPr>
        <w:t xml:space="preserve"> (2020) studying the financial and mathematics literacy achievement levels found that 40% of the students stated a satisfactory level with economic students having higher levels of financial </w:t>
      </w:r>
      <w:r w:rsidRPr="00EB60B4">
        <w:rPr>
          <w:rFonts w:ascii="Times New Roman" w:eastAsia="Calibri" w:hAnsi="Times New Roman" w:cs="Times New Roman"/>
          <w:color w:val="1D2228"/>
          <w:sz w:val="24"/>
          <w:szCs w:val="24"/>
          <w:lang w:val="en-GB"/>
        </w:rPr>
        <w:lastRenderedPageBreak/>
        <w:t>mathematical literacy knowledge than the rest. To the best of the authors knowledge, there is no study based on large scale observations, ever carried in Kosovo in the recent decades.</w:t>
      </w:r>
    </w:p>
    <w:p w14:paraId="19AA946D" w14:textId="091461B5" w:rsidR="00EB60B4" w:rsidRPr="00EB60B4" w:rsidRDefault="00EB60B4" w:rsidP="00EB60B4">
      <w:pPr>
        <w:autoSpaceDE w:val="0"/>
        <w:autoSpaceDN w:val="0"/>
        <w:adjustRightInd w:val="0"/>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color w:val="1D2228"/>
          <w:sz w:val="24"/>
          <w:szCs w:val="24"/>
          <w:lang w:val="en-GB"/>
        </w:rPr>
        <w:t xml:space="preserve">The study is based on observations carried on farmers cultivating vineyards in the Municipality of </w:t>
      </w:r>
      <w:proofErr w:type="spellStart"/>
      <w:r w:rsidRPr="00EB60B4">
        <w:rPr>
          <w:rFonts w:ascii="Times New Roman" w:eastAsia="Calibri" w:hAnsi="Times New Roman" w:cs="Times New Roman"/>
          <w:color w:val="1D2228"/>
          <w:sz w:val="24"/>
          <w:szCs w:val="24"/>
          <w:lang w:val="en-GB"/>
        </w:rPr>
        <w:t>Rahovec</w:t>
      </w:r>
      <w:proofErr w:type="spellEnd"/>
      <w:r w:rsidRPr="00EB60B4">
        <w:rPr>
          <w:rFonts w:ascii="Times New Roman" w:eastAsia="Calibri" w:hAnsi="Times New Roman" w:cs="Times New Roman"/>
          <w:color w:val="1D2228"/>
          <w:sz w:val="24"/>
          <w:szCs w:val="24"/>
          <w:lang w:val="en-GB"/>
        </w:rPr>
        <w:t xml:space="preserve">. The results provide </w:t>
      </w:r>
      <w:proofErr w:type="gramStart"/>
      <w:r w:rsidRPr="00EB60B4">
        <w:rPr>
          <w:rFonts w:ascii="Times New Roman" w:eastAsia="Calibri" w:hAnsi="Times New Roman" w:cs="Times New Roman"/>
          <w:color w:val="1D2228"/>
          <w:sz w:val="24"/>
          <w:szCs w:val="24"/>
          <w:lang w:val="en-GB"/>
        </w:rPr>
        <w:t>evidences</w:t>
      </w:r>
      <w:proofErr w:type="gramEnd"/>
      <w:r w:rsidRPr="00EB60B4">
        <w:rPr>
          <w:rFonts w:ascii="Times New Roman" w:eastAsia="Calibri" w:hAnsi="Times New Roman" w:cs="Times New Roman"/>
          <w:color w:val="1D2228"/>
          <w:sz w:val="24"/>
          <w:szCs w:val="24"/>
          <w:lang w:val="en-GB"/>
        </w:rPr>
        <w:t xml:space="preserve"> on level of financial </w:t>
      </w:r>
      <w:r w:rsidR="00BA3A02">
        <w:rPr>
          <w:rFonts w:ascii="Times New Roman" w:eastAsia="Calibri" w:hAnsi="Times New Roman" w:cs="Times New Roman"/>
          <w:color w:val="1D2228"/>
          <w:sz w:val="24"/>
          <w:szCs w:val="24"/>
          <w:lang w:val="en-GB"/>
        </w:rPr>
        <w:t>illiteracy</w:t>
      </w:r>
      <w:r w:rsidRPr="00EB60B4">
        <w:rPr>
          <w:rFonts w:ascii="Times New Roman" w:eastAsia="Calibri" w:hAnsi="Times New Roman" w:cs="Times New Roman"/>
          <w:color w:val="1D2228"/>
          <w:sz w:val="24"/>
          <w:szCs w:val="24"/>
          <w:lang w:val="en-GB"/>
        </w:rPr>
        <w:t xml:space="preserve"> Findings are of </w:t>
      </w:r>
      <w:r w:rsidR="00BA3A02" w:rsidRPr="00EB60B4">
        <w:rPr>
          <w:rFonts w:ascii="Times New Roman" w:eastAsia="Calibri" w:hAnsi="Times New Roman" w:cs="Times New Roman"/>
          <w:color w:val="1D2228"/>
          <w:sz w:val="24"/>
          <w:szCs w:val="24"/>
          <w:lang w:val="en-GB"/>
        </w:rPr>
        <w:t>interest</w:t>
      </w:r>
      <w:r w:rsidRPr="00EB60B4">
        <w:rPr>
          <w:rFonts w:ascii="Times New Roman" w:eastAsia="Calibri" w:hAnsi="Times New Roman" w:cs="Times New Roman"/>
          <w:color w:val="1D2228"/>
          <w:sz w:val="24"/>
          <w:szCs w:val="24"/>
          <w:lang w:val="en-GB"/>
        </w:rPr>
        <w:t xml:space="preserve"> for academic </w:t>
      </w:r>
      <w:r w:rsidR="00BA3A02" w:rsidRPr="00EB60B4">
        <w:rPr>
          <w:rFonts w:ascii="Times New Roman" w:eastAsia="Calibri" w:hAnsi="Times New Roman" w:cs="Times New Roman"/>
          <w:color w:val="1D2228"/>
          <w:sz w:val="24"/>
          <w:szCs w:val="24"/>
          <w:lang w:val="en-GB"/>
        </w:rPr>
        <w:t>institutions</w:t>
      </w:r>
      <w:r w:rsidRPr="00EB60B4">
        <w:rPr>
          <w:rFonts w:ascii="Times New Roman" w:eastAsia="Calibri" w:hAnsi="Times New Roman" w:cs="Times New Roman"/>
          <w:color w:val="1D2228"/>
          <w:sz w:val="24"/>
          <w:szCs w:val="24"/>
          <w:lang w:val="en-GB"/>
        </w:rPr>
        <w:t xml:space="preserve">, policymakers and developing agencies supporting agriculture sector and wine production sector specifically. </w:t>
      </w:r>
    </w:p>
    <w:p w14:paraId="400CD34C" w14:textId="6DF51AB8" w:rsidR="00EB60B4" w:rsidRPr="00EB60B4" w:rsidRDefault="00EB60B4" w:rsidP="00EB60B4">
      <w:pPr>
        <w:autoSpaceDE w:val="0"/>
        <w:autoSpaceDN w:val="0"/>
        <w:adjustRightInd w:val="0"/>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color w:val="1D2228"/>
          <w:sz w:val="24"/>
          <w:szCs w:val="24"/>
          <w:lang w:val="en-GB"/>
        </w:rPr>
        <w:t xml:space="preserve"> The paper is structured as the following. The second chapter reviews the literature. The third chapter explains the statistical methods used, followed by the fourth chapter presenting the results of the work. The conclusion in the end provide space also for </w:t>
      </w:r>
      <w:r w:rsidR="00BA3A02" w:rsidRPr="00EB60B4">
        <w:rPr>
          <w:rFonts w:ascii="Times New Roman" w:eastAsia="Calibri" w:hAnsi="Times New Roman" w:cs="Times New Roman"/>
          <w:color w:val="1D2228"/>
          <w:sz w:val="24"/>
          <w:szCs w:val="24"/>
          <w:lang w:val="en-GB"/>
        </w:rPr>
        <w:t>recommendations</w:t>
      </w:r>
      <w:r w:rsidRPr="00EB60B4">
        <w:rPr>
          <w:rFonts w:ascii="Times New Roman" w:eastAsia="Calibri" w:hAnsi="Times New Roman" w:cs="Times New Roman"/>
          <w:color w:val="1D2228"/>
          <w:sz w:val="24"/>
          <w:szCs w:val="24"/>
          <w:lang w:val="en-GB"/>
        </w:rPr>
        <w:t xml:space="preserve"> for financial institutions as well as capacity building institutions. </w:t>
      </w:r>
    </w:p>
    <w:p w14:paraId="4712CFD8" w14:textId="77777777" w:rsidR="00EB60B4" w:rsidRPr="00EB60B4" w:rsidRDefault="00EB60B4" w:rsidP="00EB60B4">
      <w:pPr>
        <w:autoSpaceDE w:val="0"/>
        <w:autoSpaceDN w:val="0"/>
        <w:adjustRightInd w:val="0"/>
        <w:spacing w:before="120" w:after="120" w:line="276" w:lineRule="auto"/>
        <w:jc w:val="both"/>
        <w:rPr>
          <w:rFonts w:ascii="Times New Roman" w:eastAsia="Calibri" w:hAnsi="Times New Roman" w:cs="Times New Roman"/>
          <w:color w:val="1D2228"/>
          <w:sz w:val="24"/>
          <w:szCs w:val="24"/>
          <w:lang w:val="en-GB"/>
        </w:rPr>
      </w:pPr>
    </w:p>
    <w:p w14:paraId="517C123C" w14:textId="77777777" w:rsidR="00EB60B4" w:rsidRPr="00EB60B4" w:rsidRDefault="00EB60B4" w:rsidP="00626499">
      <w:pPr>
        <w:numPr>
          <w:ilvl w:val="0"/>
          <w:numId w:val="5"/>
        </w:numPr>
        <w:spacing w:line="360" w:lineRule="auto"/>
        <w:contextualSpacing/>
        <w:rPr>
          <w:rFonts w:ascii="Times New Roman" w:eastAsia="Calibri" w:hAnsi="Times New Roman" w:cs="Times New Roman"/>
          <w:color w:val="1D2228"/>
          <w:sz w:val="28"/>
          <w:szCs w:val="28"/>
          <w:lang w:val="en-GB"/>
        </w:rPr>
      </w:pPr>
      <w:r w:rsidRPr="00EB60B4">
        <w:rPr>
          <w:rFonts w:ascii="Times New Roman" w:eastAsia="Calibri" w:hAnsi="Times New Roman" w:cs="Times New Roman"/>
          <w:b/>
          <w:bCs/>
          <w:color w:val="1D2228"/>
          <w:sz w:val="28"/>
          <w:szCs w:val="28"/>
          <w:lang w:val="en-GB"/>
        </w:rPr>
        <w:t>Literature review</w:t>
      </w:r>
    </w:p>
    <w:p w14:paraId="1FD46216" w14:textId="2853C72E" w:rsidR="00EB60B4" w:rsidRPr="00EB60B4" w:rsidRDefault="00EB60B4" w:rsidP="00EB60B4">
      <w:pPr>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color w:val="1D2228"/>
          <w:sz w:val="24"/>
          <w:szCs w:val="24"/>
          <w:lang w:val="en-GB"/>
        </w:rPr>
        <w:t xml:space="preserve">The literature on financial </w:t>
      </w:r>
      <w:r w:rsidR="00BA3A02" w:rsidRPr="00EB60B4">
        <w:rPr>
          <w:rFonts w:ascii="Times New Roman" w:eastAsia="Calibri" w:hAnsi="Times New Roman" w:cs="Times New Roman"/>
          <w:color w:val="1D2228"/>
          <w:sz w:val="24"/>
          <w:szCs w:val="24"/>
          <w:lang w:val="en-GB"/>
        </w:rPr>
        <w:t>illiteracy</w:t>
      </w:r>
      <w:r w:rsidRPr="00EB60B4">
        <w:rPr>
          <w:rFonts w:ascii="Times New Roman" w:eastAsia="Calibri" w:hAnsi="Times New Roman" w:cs="Times New Roman"/>
          <w:color w:val="1D2228"/>
          <w:sz w:val="24"/>
          <w:szCs w:val="24"/>
          <w:lang w:val="en-GB"/>
        </w:rPr>
        <w:t xml:space="preserve"> covers different aspects. One group of studies explores the influence of financial </w:t>
      </w:r>
      <w:r w:rsidR="00BA3A02" w:rsidRPr="00EB60B4">
        <w:rPr>
          <w:rFonts w:ascii="Times New Roman" w:eastAsia="Calibri" w:hAnsi="Times New Roman" w:cs="Times New Roman"/>
          <w:color w:val="1D2228"/>
          <w:sz w:val="24"/>
          <w:szCs w:val="24"/>
          <w:lang w:val="en-GB"/>
        </w:rPr>
        <w:t>illiteracy</w:t>
      </w:r>
      <w:r w:rsidRPr="00EB60B4">
        <w:rPr>
          <w:rFonts w:ascii="Times New Roman" w:eastAsia="Calibri" w:hAnsi="Times New Roman" w:cs="Times New Roman"/>
          <w:color w:val="1D2228"/>
          <w:sz w:val="24"/>
          <w:szCs w:val="24"/>
          <w:lang w:val="en-GB"/>
        </w:rPr>
        <w:t xml:space="preserve"> on credit </w:t>
      </w:r>
      <w:r w:rsidR="00870A6A" w:rsidRPr="00EB60B4">
        <w:rPr>
          <w:rFonts w:ascii="Times New Roman" w:eastAsia="Calibri" w:hAnsi="Times New Roman" w:cs="Times New Roman"/>
          <w:color w:val="1D2228"/>
          <w:sz w:val="24"/>
          <w:szCs w:val="24"/>
          <w:lang w:val="en-GB"/>
        </w:rPr>
        <w:t>absor</w:t>
      </w:r>
      <w:r w:rsidR="00870A6A">
        <w:rPr>
          <w:rFonts w:ascii="Times New Roman" w:eastAsia="Calibri" w:hAnsi="Times New Roman" w:cs="Times New Roman"/>
          <w:color w:val="1D2228"/>
          <w:sz w:val="24"/>
          <w:szCs w:val="24"/>
          <w:lang w:val="en-GB"/>
        </w:rPr>
        <w:t>p</w:t>
      </w:r>
      <w:r w:rsidR="00870A6A" w:rsidRPr="00EB60B4">
        <w:rPr>
          <w:rFonts w:ascii="Times New Roman" w:eastAsia="Calibri" w:hAnsi="Times New Roman" w:cs="Times New Roman"/>
          <w:color w:val="1D2228"/>
          <w:sz w:val="24"/>
          <w:szCs w:val="24"/>
          <w:lang w:val="en-GB"/>
        </w:rPr>
        <w:t xml:space="preserve">tion </w:t>
      </w:r>
      <w:r w:rsidRPr="00EB60B4">
        <w:rPr>
          <w:rFonts w:ascii="Times New Roman" w:eastAsia="Calibri" w:hAnsi="Times New Roman" w:cs="Times New Roman"/>
          <w:color w:val="1D2228"/>
          <w:sz w:val="24"/>
          <w:szCs w:val="24"/>
          <w:lang w:val="en-GB"/>
        </w:rPr>
        <w:t xml:space="preserve">and </w:t>
      </w:r>
      <w:proofErr w:type="spellStart"/>
      <w:r w:rsidRPr="00EB60B4">
        <w:rPr>
          <w:rFonts w:ascii="Times New Roman" w:eastAsia="Calibri" w:hAnsi="Times New Roman" w:cs="Times New Roman"/>
          <w:color w:val="1D2228"/>
          <w:sz w:val="24"/>
          <w:szCs w:val="24"/>
          <w:lang w:val="en-GB"/>
        </w:rPr>
        <w:t>conseguently</w:t>
      </w:r>
      <w:proofErr w:type="spellEnd"/>
      <w:r w:rsidRPr="00EB60B4">
        <w:rPr>
          <w:rFonts w:ascii="Times New Roman" w:eastAsia="Calibri" w:hAnsi="Times New Roman" w:cs="Times New Roman"/>
          <w:color w:val="1D2228"/>
          <w:sz w:val="24"/>
          <w:szCs w:val="24"/>
          <w:lang w:val="en-GB"/>
        </w:rPr>
        <w:t xml:space="preserve"> on farmers wellbeing. For instance, Taft et al (2013) provide evidences that higher financial literacy leads to greater financial well-being and less financial concerns. On the other hand, according to Aggarwal et al. (2014) there exist a strong positive association between level of financial literacy and annual income. Same nature of relations </w:t>
      </w:r>
      <w:proofErr w:type="gramStart"/>
      <w:r w:rsidRPr="00EB60B4">
        <w:rPr>
          <w:rFonts w:ascii="Times New Roman" w:eastAsia="Calibri" w:hAnsi="Times New Roman" w:cs="Times New Roman"/>
          <w:color w:val="1D2228"/>
          <w:sz w:val="24"/>
          <w:szCs w:val="24"/>
          <w:lang w:val="en-GB"/>
        </w:rPr>
        <w:t>appear</w:t>
      </w:r>
      <w:proofErr w:type="gramEnd"/>
      <w:r w:rsidRPr="00EB60B4">
        <w:rPr>
          <w:rFonts w:ascii="Times New Roman" w:eastAsia="Calibri" w:hAnsi="Times New Roman" w:cs="Times New Roman"/>
          <w:color w:val="1D2228"/>
          <w:sz w:val="24"/>
          <w:szCs w:val="24"/>
          <w:lang w:val="en-GB"/>
        </w:rPr>
        <w:t xml:space="preserve"> also with land holding size. Furthermore Sang and Cheruiyot (2020) results shows that there exist a moderate strength of relationship with farmers’ financial education, productivity </w:t>
      </w:r>
      <w:proofErr w:type="gramStart"/>
      <w:r w:rsidRPr="00EB60B4">
        <w:rPr>
          <w:rFonts w:ascii="Times New Roman" w:eastAsia="Calibri" w:hAnsi="Times New Roman" w:cs="Times New Roman"/>
          <w:color w:val="1D2228"/>
          <w:sz w:val="24"/>
          <w:szCs w:val="24"/>
          <w:lang w:val="en-GB"/>
        </w:rPr>
        <w:t>and  profitability</w:t>
      </w:r>
      <w:proofErr w:type="gramEnd"/>
      <w:r w:rsidRPr="00EB60B4">
        <w:rPr>
          <w:rFonts w:ascii="Times New Roman" w:eastAsia="Calibri" w:hAnsi="Times New Roman" w:cs="Times New Roman"/>
          <w:color w:val="1D2228"/>
          <w:sz w:val="24"/>
          <w:szCs w:val="24"/>
          <w:lang w:val="en-GB"/>
        </w:rPr>
        <w:t>.</w:t>
      </w:r>
    </w:p>
    <w:p w14:paraId="31C3BB1D" w14:textId="587FA292" w:rsidR="00EB60B4" w:rsidRPr="00EB60B4" w:rsidRDefault="00EB60B4" w:rsidP="00EB60B4">
      <w:pPr>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color w:val="1D2228"/>
          <w:sz w:val="24"/>
          <w:szCs w:val="24"/>
          <w:lang w:val="en-GB"/>
        </w:rPr>
        <w:t xml:space="preserve">Other studies aim to analyse the factors influencing farmers </w:t>
      </w:r>
      <w:r w:rsidR="00870A6A" w:rsidRPr="00EB60B4">
        <w:rPr>
          <w:rFonts w:ascii="Times New Roman" w:eastAsia="Calibri" w:hAnsi="Times New Roman" w:cs="Times New Roman"/>
          <w:color w:val="1D2228"/>
          <w:sz w:val="24"/>
          <w:szCs w:val="24"/>
          <w:lang w:val="en-GB"/>
        </w:rPr>
        <w:t>illiteracy</w:t>
      </w:r>
      <w:r w:rsidRPr="00EB60B4">
        <w:rPr>
          <w:rFonts w:ascii="Times New Roman" w:eastAsia="Calibri" w:hAnsi="Times New Roman" w:cs="Times New Roman"/>
          <w:color w:val="1D2228"/>
          <w:sz w:val="24"/>
          <w:szCs w:val="24"/>
          <w:lang w:val="en-GB"/>
        </w:rPr>
        <w:t xml:space="preserve">. Kebede and </w:t>
      </w:r>
      <w:proofErr w:type="spellStart"/>
      <w:r w:rsidRPr="00EB60B4">
        <w:rPr>
          <w:rFonts w:ascii="Times New Roman" w:eastAsia="Calibri" w:hAnsi="Times New Roman" w:cs="Times New Roman"/>
          <w:color w:val="1D2228"/>
          <w:sz w:val="24"/>
          <w:szCs w:val="24"/>
          <w:lang w:val="en-GB"/>
        </w:rPr>
        <w:t>Kuar</w:t>
      </w:r>
      <w:proofErr w:type="spellEnd"/>
      <w:r w:rsidRPr="00EB60B4">
        <w:rPr>
          <w:rFonts w:ascii="Times New Roman" w:eastAsia="Calibri" w:hAnsi="Times New Roman" w:cs="Times New Roman"/>
          <w:color w:val="1D2228"/>
          <w:sz w:val="24"/>
          <w:szCs w:val="24"/>
          <w:lang w:val="en-GB"/>
        </w:rPr>
        <w:t xml:space="preserve">, (2015) observes based on literature review that gender, age,  educational attainment, low income, and living in rural area however few studies found some demographic variables insignificant. The review </w:t>
      </w:r>
      <w:r w:rsidR="00870A6A" w:rsidRPr="00EB60B4">
        <w:rPr>
          <w:rFonts w:ascii="Times New Roman" w:eastAsia="Calibri" w:hAnsi="Times New Roman" w:cs="Times New Roman"/>
          <w:color w:val="1D2228"/>
          <w:sz w:val="24"/>
          <w:szCs w:val="24"/>
          <w:lang w:val="en-GB"/>
        </w:rPr>
        <w:t>suggests</w:t>
      </w:r>
      <w:r w:rsidRPr="00EB60B4">
        <w:rPr>
          <w:rFonts w:ascii="Times New Roman" w:eastAsia="Calibri" w:hAnsi="Times New Roman" w:cs="Times New Roman"/>
          <w:color w:val="1D2228"/>
          <w:sz w:val="24"/>
          <w:szCs w:val="24"/>
          <w:lang w:val="en-GB"/>
        </w:rPr>
        <w:t xml:space="preserve"> positive outcomes of well-designed and targeted financial education, sometimes coupled with other interventions- Akoto et al (2017) using a survey </w:t>
      </w:r>
      <w:proofErr w:type="gramStart"/>
      <w:r w:rsidRPr="00EB60B4">
        <w:rPr>
          <w:rFonts w:ascii="Times New Roman" w:eastAsia="Calibri" w:hAnsi="Times New Roman" w:cs="Times New Roman"/>
          <w:color w:val="1D2228"/>
          <w:sz w:val="24"/>
          <w:szCs w:val="24"/>
          <w:lang w:val="en-GB"/>
        </w:rPr>
        <w:t>of  cocoa</w:t>
      </w:r>
      <w:proofErr w:type="gramEnd"/>
      <w:r w:rsidRPr="00EB60B4">
        <w:rPr>
          <w:rFonts w:ascii="Times New Roman" w:eastAsia="Calibri" w:hAnsi="Times New Roman" w:cs="Times New Roman"/>
          <w:color w:val="1D2228"/>
          <w:sz w:val="24"/>
          <w:szCs w:val="24"/>
          <w:lang w:val="en-GB"/>
        </w:rPr>
        <w:t xml:space="preserve"> farmers in Ghana identified as factors of financial literacy are geographical location, age and education levels. </w:t>
      </w:r>
      <w:proofErr w:type="spellStart"/>
      <w:r w:rsidRPr="00EB60B4">
        <w:rPr>
          <w:rFonts w:ascii="Times New Roman" w:eastAsia="Calibri" w:hAnsi="Times New Roman" w:cs="Times New Roman"/>
          <w:color w:val="1D2228"/>
          <w:sz w:val="24"/>
          <w:szCs w:val="24"/>
          <w:lang w:val="en-GB"/>
        </w:rPr>
        <w:t>Widhiyanto</w:t>
      </w:r>
      <w:proofErr w:type="spellEnd"/>
      <w:r w:rsidRPr="00EB60B4">
        <w:rPr>
          <w:rFonts w:ascii="Times New Roman" w:eastAsia="Calibri" w:hAnsi="Times New Roman" w:cs="Times New Roman"/>
          <w:color w:val="1D2228"/>
          <w:sz w:val="24"/>
          <w:szCs w:val="24"/>
          <w:lang w:val="en-GB"/>
        </w:rPr>
        <w:t xml:space="preserve"> et al (2018) suggest that levels of financial literacy are influenced by age, education duration, distance to the capital regency location, annual income, bank account ownership, and financial education experiences. </w:t>
      </w:r>
    </w:p>
    <w:p w14:paraId="3CEE0833" w14:textId="35BC3071" w:rsidR="00EB60B4" w:rsidRPr="00EB60B4" w:rsidRDefault="00EB60B4" w:rsidP="00EB60B4">
      <w:pPr>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color w:val="1D2228"/>
          <w:sz w:val="24"/>
          <w:szCs w:val="24"/>
          <w:lang w:val="en-GB"/>
        </w:rPr>
        <w:t>A strong association was seen between level of financial literacy and education in several empirical studies (</w:t>
      </w:r>
      <w:proofErr w:type="spellStart"/>
      <w:r w:rsidRPr="00EB60B4">
        <w:rPr>
          <w:rFonts w:ascii="Times New Roman" w:eastAsia="Calibri" w:hAnsi="Times New Roman" w:cs="Times New Roman"/>
          <w:color w:val="1D2228"/>
          <w:sz w:val="24"/>
          <w:szCs w:val="24"/>
          <w:lang w:val="en-GB"/>
        </w:rPr>
        <w:t>Lalrinmawia</w:t>
      </w:r>
      <w:proofErr w:type="spellEnd"/>
      <w:r w:rsidRPr="00EB60B4">
        <w:rPr>
          <w:rFonts w:ascii="Times New Roman" w:eastAsia="Calibri" w:hAnsi="Times New Roman" w:cs="Times New Roman"/>
          <w:color w:val="1D2228"/>
          <w:sz w:val="24"/>
          <w:szCs w:val="24"/>
          <w:lang w:val="en-GB"/>
        </w:rPr>
        <w:t xml:space="preserve"> and Gupta, 2015; </w:t>
      </w:r>
      <w:proofErr w:type="spellStart"/>
      <w:r w:rsidRPr="00EB60B4">
        <w:rPr>
          <w:rFonts w:ascii="Times New Roman" w:eastAsia="Calibri" w:hAnsi="Times New Roman" w:cs="Times New Roman"/>
          <w:color w:val="1D2228"/>
          <w:sz w:val="24"/>
          <w:szCs w:val="24"/>
          <w:lang w:val="en-GB"/>
        </w:rPr>
        <w:t>Gaisina</w:t>
      </w:r>
      <w:proofErr w:type="spellEnd"/>
      <w:r w:rsidRPr="00EB60B4">
        <w:rPr>
          <w:rFonts w:ascii="Times New Roman" w:eastAsia="Calibri" w:hAnsi="Times New Roman" w:cs="Times New Roman"/>
          <w:color w:val="1D2228"/>
          <w:sz w:val="24"/>
          <w:szCs w:val="24"/>
          <w:lang w:val="en-GB"/>
        </w:rPr>
        <w:t xml:space="preserve"> and </w:t>
      </w:r>
      <w:proofErr w:type="spellStart"/>
      <w:r w:rsidRPr="00EB60B4">
        <w:rPr>
          <w:rFonts w:ascii="Times New Roman" w:eastAsia="Calibri" w:hAnsi="Times New Roman" w:cs="Times New Roman"/>
          <w:color w:val="1D2228"/>
          <w:sz w:val="24"/>
          <w:szCs w:val="24"/>
          <w:lang w:val="en-GB"/>
        </w:rPr>
        <w:t>Kaidarova</w:t>
      </w:r>
      <w:proofErr w:type="spellEnd"/>
      <w:r w:rsidRPr="00EB60B4">
        <w:rPr>
          <w:rFonts w:ascii="Times New Roman" w:eastAsia="Calibri" w:hAnsi="Times New Roman" w:cs="Times New Roman"/>
          <w:color w:val="1D2228"/>
          <w:sz w:val="24"/>
          <w:szCs w:val="24"/>
          <w:lang w:val="en-GB"/>
        </w:rPr>
        <w:t xml:space="preserve">, 2017; Aggarwal et al., 2014). However, </w:t>
      </w:r>
      <w:proofErr w:type="spellStart"/>
      <w:r w:rsidRPr="00EB60B4">
        <w:rPr>
          <w:rFonts w:ascii="Times New Roman" w:eastAsia="Calibri" w:hAnsi="Times New Roman" w:cs="Times New Roman"/>
          <w:color w:val="1D2228"/>
          <w:sz w:val="24"/>
          <w:szCs w:val="24"/>
          <w:lang w:val="en-GB"/>
        </w:rPr>
        <w:t>Gaisina</w:t>
      </w:r>
      <w:proofErr w:type="spellEnd"/>
      <w:r w:rsidRPr="00EB60B4">
        <w:rPr>
          <w:rFonts w:ascii="Times New Roman" w:eastAsia="Calibri" w:hAnsi="Times New Roman" w:cs="Times New Roman"/>
          <w:color w:val="1D2228"/>
          <w:sz w:val="24"/>
          <w:szCs w:val="24"/>
          <w:lang w:val="en-GB"/>
        </w:rPr>
        <w:t xml:space="preserve"> and </w:t>
      </w:r>
      <w:proofErr w:type="spellStart"/>
      <w:r w:rsidRPr="00EB60B4">
        <w:rPr>
          <w:rFonts w:ascii="Times New Roman" w:eastAsia="Calibri" w:hAnsi="Times New Roman" w:cs="Times New Roman"/>
          <w:color w:val="1D2228"/>
          <w:sz w:val="24"/>
          <w:szCs w:val="24"/>
          <w:lang w:val="en-GB"/>
        </w:rPr>
        <w:t>Kaidarova</w:t>
      </w:r>
      <w:proofErr w:type="spellEnd"/>
      <w:r w:rsidRPr="00EB60B4">
        <w:rPr>
          <w:rFonts w:ascii="Times New Roman" w:eastAsia="Calibri" w:hAnsi="Times New Roman" w:cs="Times New Roman"/>
          <w:color w:val="1D2228"/>
          <w:sz w:val="24"/>
          <w:szCs w:val="24"/>
          <w:lang w:val="en-GB"/>
        </w:rPr>
        <w:t xml:space="preserve"> (2017) results show that higher education does not always significantly affects the </w:t>
      </w:r>
      <w:r w:rsidR="00870A6A" w:rsidRPr="00EB60B4">
        <w:rPr>
          <w:rFonts w:ascii="Times New Roman" w:eastAsia="Calibri" w:hAnsi="Times New Roman" w:cs="Times New Roman"/>
          <w:color w:val="1D2228"/>
          <w:sz w:val="24"/>
          <w:szCs w:val="24"/>
          <w:lang w:val="en-GB"/>
        </w:rPr>
        <w:t>efficacy</w:t>
      </w:r>
      <w:r w:rsidRPr="00EB60B4">
        <w:rPr>
          <w:rFonts w:ascii="Times New Roman" w:eastAsia="Calibri" w:hAnsi="Times New Roman" w:cs="Times New Roman"/>
          <w:color w:val="1D2228"/>
          <w:sz w:val="24"/>
          <w:szCs w:val="24"/>
          <w:lang w:val="en-GB"/>
        </w:rPr>
        <w:t xml:space="preserve"> of farmers </w:t>
      </w:r>
      <w:r w:rsidR="00870A6A" w:rsidRPr="00EB60B4">
        <w:rPr>
          <w:rFonts w:ascii="Times New Roman" w:eastAsia="Calibri" w:hAnsi="Times New Roman" w:cs="Times New Roman"/>
          <w:color w:val="1D2228"/>
          <w:sz w:val="24"/>
          <w:szCs w:val="24"/>
          <w:lang w:val="en-GB"/>
        </w:rPr>
        <w:t>decision</w:t>
      </w:r>
      <w:r w:rsidRPr="00EB60B4">
        <w:rPr>
          <w:rFonts w:ascii="Times New Roman" w:eastAsia="Calibri" w:hAnsi="Times New Roman" w:cs="Times New Roman"/>
          <w:color w:val="1D2228"/>
          <w:sz w:val="24"/>
          <w:szCs w:val="24"/>
          <w:lang w:val="en-GB"/>
        </w:rPr>
        <w:t xml:space="preserve"> making about own finance, but education interlinked with experience in using financial products would derive better financial decisions.   </w:t>
      </w:r>
    </w:p>
    <w:p w14:paraId="12BD5D01" w14:textId="77777777" w:rsidR="00EB60B4" w:rsidRPr="00EB60B4" w:rsidRDefault="00EB60B4" w:rsidP="00EB60B4">
      <w:pPr>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color w:val="1D2228"/>
          <w:sz w:val="24"/>
          <w:szCs w:val="24"/>
          <w:lang w:val="en-GB"/>
        </w:rPr>
        <w:t>Moreover, other sociodemographic factors associated with financial literacy and education are age, size of the population in a certain village/town and family size of the farmers (</w:t>
      </w:r>
      <w:proofErr w:type="spellStart"/>
      <w:r w:rsidRPr="00EB60B4">
        <w:rPr>
          <w:rFonts w:ascii="Times New Roman" w:eastAsia="Calibri" w:hAnsi="Times New Roman" w:cs="Times New Roman"/>
          <w:color w:val="1D2228"/>
          <w:sz w:val="24"/>
          <w:szCs w:val="24"/>
          <w:lang w:val="en-GB"/>
        </w:rPr>
        <w:t>Lalrinmawia</w:t>
      </w:r>
      <w:proofErr w:type="spellEnd"/>
      <w:r w:rsidRPr="00EB60B4">
        <w:rPr>
          <w:rFonts w:ascii="Times New Roman" w:eastAsia="Calibri" w:hAnsi="Times New Roman" w:cs="Times New Roman"/>
          <w:color w:val="1D2228"/>
          <w:sz w:val="24"/>
          <w:szCs w:val="24"/>
          <w:lang w:val="en-GB"/>
        </w:rPr>
        <w:t xml:space="preserve"> and </w:t>
      </w:r>
      <w:r w:rsidRPr="00EB60B4">
        <w:rPr>
          <w:rFonts w:ascii="Times New Roman" w:eastAsia="Calibri" w:hAnsi="Times New Roman" w:cs="Times New Roman"/>
          <w:color w:val="1D2228"/>
          <w:sz w:val="24"/>
          <w:szCs w:val="24"/>
          <w:lang w:val="en-GB"/>
        </w:rPr>
        <w:lastRenderedPageBreak/>
        <w:t xml:space="preserve">Gupta, 2015). The  level of literacy is not associated with residential location and marital status of the farmer of the farmers (ibid). </w:t>
      </w:r>
    </w:p>
    <w:p w14:paraId="05A5A5FD" w14:textId="0F9B360C" w:rsidR="00EB60B4" w:rsidRPr="00EB60B4" w:rsidRDefault="00EB60B4" w:rsidP="00EB60B4">
      <w:pPr>
        <w:spacing w:before="120" w:after="120" w:line="276" w:lineRule="auto"/>
        <w:jc w:val="both"/>
        <w:rPr>
          <w:rFonts w:ascii="Times New Roman" w:eastAsia="Calibri" w:hAnsi="Times New Roman" w:cs="Times New Roman"/>
          <w:color w:val="1D2228"/>
          <w:sz w:val="24"/>
          <w:szCs w:val="24"/>
          <w:lang w:val="en-GB"/>
        </w:rPr>
      </w:pPr>
      <w:r w:rsidRPr="00EB60B4">
        <w:rPr>
          <w:rFonts w:ascii="Times New Roman" w:eastAsia="Calibri" w:hAnsi="Times New Roman" w:cs="Times New Roman"/>
          <w:color w:val="1D2228"/>
          <w:sz w:val="24"/>
          <w:szCs w:val="24"/>
          <w:lang w:val="en-GB"/>
        </w:rPr>
        <w:t xml:space="preserve">Other factors are farmers individual capabilities and their relation with banking institutions. Gaurav and </w:t>
      </w:r>
      <w:proofErr w:type="gramStart"/>
      <w:r w:rsidRPr="00EB60B4">
        <w:rPr>
          <w:rFonts w:ascii="Times New Roman" w:eastAsia="Calibri" w:hAnsi="Times New Roman" w:cs="Times New Roman"/>
          <w:color w:val="1D2228"/>
          <w:sz w:val="24"/>
          <w:szCs w:val="24"/>
          <w:lang w:val="en-GB"/>
        </w:rPr>
        <w:t>Singh  (</w:t>
      </w:r>
      <w:proofErr w:type="gramEnd"/>
      <w:r w:rsidRPr="00EB60B4">
        <w:rPr>
          <w:rFonts w:ascii="Times New Roman" w:eastAsia="Calibri" w:hAnsi="Times New Roman" w:cs="Times New Roman"/>
          <w:color w:val="1D2228"/>
          <w:sz w:val="24"/>
          <w:szCs w:val="24"/>
          <w:lang w:val="en-GB"/>
        </w:rPr>
        <w:t xml:space="preserve">2012) </w:t>
      </w:r>
      <w:r w:rsidR="00870A6A" w:rsidRPr="00EB60B4">
        <w:rPr>
          <w:rFonts w:ascii="Times New Roman" w:eastAsia="Calibri" w:hAnsi="Times New Roman" w:cs="Times New Roman"/>
          <w:color w:val="1D2228"/>
          <w:sz w:val="24"/>
          <w:szCs w:val="24"/>
          <w:lang w:val="en-GB"/>
        </w:rPr>
        <w:t>emphasize</w:t>
      </w:r>
      <w:r w:rsidRPr="00EB60B4">
        <w:rPr>
          <w:rFonts w:ascii="Times New Roman" w:eastAsia="Calibri" w:hAnsi="Times New Roman" w:cs="Times New Roman"/>
          <w:color w:val="1D2228"/>
          <w:sz w:val="24"/>
          <w:szCs w:val="24"/>
          <w:lang w:val="en-GB"/>
        </w:rPr>
        <w:t xml:space="preserve"> that farmers' education and financial experience are shown to be significantly correlated with cognitive ability. Sivakumar et al (2013) found that age, education, experience, farm income, years of relationship with the bank, size of landholding, frequency of bank visit and bank account were significantly influenced the financial literacy of farmer.</w:t>
      </w:r>
    </w:p>
    <w:p w14:paraId="3EDD9E59" w14:textId="77777777" w:rsidR="00EB60B4" w:rsidRPr="00EB60B4" w:rsidRDefault="00EB60B4" w:rsidP="00EB60B4">
      <w:pPr>
        <w:spacing w:before="120" w:after="120" w:line="276" w:lineRule="auto"/>
        <w:jc w:val="both"/>
        <w:rPr>
          <w:rFonts w:ascii="Times New Roman" w:eastAsia="Calibri" w:hAnsi="Times New Roman" w:cs="Times New Roman"/>
          <w:color w:val="1D2228"/>
          <w:sz w:val="24"/>
          <w:szCs w:val="24"/>
          <w:lang w:val="en-GB"/>
        </w:rPr>
      </w:pPr>
    </w:p>
    <w:p w14:paraId="2F5B8A51" w14:textId="77777777" w:rsidR="00EB60B4" w:rsidRPr="00EB60B4" w:rsidRDefault="00EB60B4" w:rsidP="00EB60B4">
      <w:pPr>
        <w:numPr>
          <w:ilvl w:val="0"/>
          <w:numId w:val="5"/>
        </w:numPr>
        <w:spacing w:before="120" w:after="120" w:line="276" w:lineRule="auto"/>
        <w:contextualSpacing/>
        <w:jc w:val="both"/>
        <w:rPr>
          <w:rFonts w:ascii="Times New Roman" w:eastAsia="Calibri" w:hAnsi="Times New Roman" w:cs="Times New Roman"/>
          <w:b/>
          <w:sz w:val="28"/>
          <w:szCs w:val="28"/>
          <w:lang w:val="en-GB"/>
        </w:rPr>
      </w:pPr>
      <w:r w:rsidRPr="00EB60B4">
        <w:rPr>
          <w:rFonts w:ascii="Times New Roman" w:eastAsia="Calibri" w:hAnsi="Times New Roman" w:cs="Times New Roman"/>
          <w:b/>
          <w:sz w:val="28"/>
          <w:szCs w:val="28"/>
          <w:lang w:val="en-GB"/>
        </w:rPr>
        <w:t>Methodology</w:t>
      </w:r>
    </w:p>
    <w:p w14:paraId="65D616B9" w14:textId="77777777" w:rsidR="00EB60B4" w:rsidRPr="00626499" w:rsidRDefault="00EB60B4" w:rsidP="00EB60B4">
      <w:pPr>
        <w:spacing w:before="120" w:after="120" w:line="276" w:lineRule="auto"/>
        <w:jc w:val="both"/>
        <w:rPr>
          <w:rFonts w:ascii="Times New Roman" w:eastAsia="Calibri" w:hAnsi="Times New Roman" w:cs="Times New Roman"/>
          <w:b/>
          <w:bCs/>
          <w:sz w:val="24"/>
          <w:szCs w:val="24"/>
          <w:lang w:val="en-GB"/>
        </w:rPr>
      </w:pPr>
      <w:r w:rsidRPr="00626499">
        <w:rPr>
          <w:rFonts w:ascii="Times New Roman" w:eastAsia="Calibri" w:hAnsi="Times New Roman" w:cs="Times New Roman"/>
          <w:b/>
          <w:bCs/>
          <w:sz w:val="24"/>
          <w:szCs w:val="24"/>
          <w:lang w:val="en-GB"/>
        </w:rPr>
        <w:t xml:space="preserve">Sampling approach </w:t>
      </w:r>
    </w:p>
    <w:p w14:paraId="6132941E" w14:textId="77777777" w:rsidR="00EB60B4" w:rsidRPr="00EB60B4" w:rsidRDefault="00EB60B4" w:rsidP="00EB60B4">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 xml:space="preserve">This paper is based on a data collected from a face-to-face survey with vineyard farmers in the municipality of </w:t>
      </w:r>
      <w:proofErr w:type="spellStart"/>
      <w:r w:rsidRPr="00EB60B4">
        <w:rPr>
          <w:rFonts w:ascii="Times New Roman" w:eastAsia="Calibri" w:hAnsi="Times New Roman" w:cs="Times New Roman"/>
          <w:sz w:val="24"/>
          <w:szCs w:val="24"/>
          <w:lang w:val="en-GB"/>
        </w:rPr>
        <w:t>Rahovec</w:t>
      </w:r>
      <w:proofErr w:type="spellEnd"/>
      <w:r w:rsidRPr="00EB60B4">
        <w:rPr>
          <w:rFonts w:ascii="Times New Roman" w:eastAsia="Calibri" w:hAnsi="Times New Roman" w:cs="Times New Roman"/>
          <w:sz w:val="24"/>
          <w:szCs w:val="24"/>
          <w:lang w:val="en-GB"/>
        </w:rPr>
        <w:t xml:space="preserve">, located in southwest Kosovo. In </w:t>
      </w:r>
      <w:proofErr w:type="spellStart"/>
      <w:r w:rsidRPr="00EB60B4">
        <w:rPr>
          <w:rFonts w:ascii="Times New Roman" w:eastAsia="Calibri" w:hAnsi="Times New Roman" w:cs="Times New Roman"/>
          <w:sz w:val="24"/>
          <w:szCs w:val="24"/>
          <w:lang w:val="en-GB"/>
        </w:rPr>
        <w:t>Rahovec</w:t>
      </w:r>
      <w:proofErr w:type="spellEnd"/>
      <w:r w:rsidRPr="00EB60B4">
        <w:rPr>
          <w:rFonts w:ascii="Times New Roman" w:eastAsia="Calibri" w:hAnsi="Times New Roman" w:cs="Times New Roman"/>
          <w:sz w:val="24"/>
          <w:szCs w:val="24"/>
          <w:lang w:val="en-GB"/>
        </w:rPr>
        <w:t xml:space="preserve"> is concentrated grape and wine production for the whole country.  After data cleaning as well as quality control, a total of 222 resulted valid observations. </w:t>
      </w:r>
    </w:p>
    <w:p w14:paraId="6C6925BA" w14:textId="77777777" w:rsidR="00EB60B4" w:rsidRPr="00626499" w:rsidRDefault="00EB60B4" w:rsidP="00EB60B4">
      <w:pPr>
        <w:spacing w:before="120" w:after="120" w:line="276" w:lineRule="auto"/>
        <w:jc w:val="both"/>
        <w:rPr>
          <w:rFonts w:ascii="Times New Roman" w:eastAsia="Calibri" w:hAnsi="Times New Roman" w:cs="Times New Roman"/>
          <w:b/>
          <w:bCs/>
          <w:sz w:val="24"/>
          <w:szCs w:val="24"/>
          <w:lang w:val="en-GB"/>
        </w:rPr>
      </w:pPr>
      <w:r w:rsidRPr="00626499">
        <w:rPr>
          <w:rFonts w:ascii="Times New Roman" w:eastAsia="Calibri" w:hAnsi="Times New Roman" w:cs="Times New Roman"/>
          <w:b/>
          <w:bCs/>
          <w:sz w:val="24"/>
          <w:szCs w:val="24"/>
          <w:lang w:val="en-GB"/>
        </w:rPr>
        <w:t xml:space="preserve">Sample characteristics </w:t>
      </w:r>
    </w:p>
    <w:p w14:paraId="18D940D1" w14:textId="6FBAAED7" w:rsidR="00EB60B4" w:rsidRDefault="00EB60B4" w:rsidP="00EB60B4">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From the descriptive statistics of the variables taken in the study it resulted that the average age of farmers was 49.5 years (SD = 12.3 years). About 43% of farmers have basic education, 37.4% with high school, 16.2% with university education, 16.2% with university education and 3.6% without education. The average area of vineyards was 1.2 Ha, while the average percentage of contribution of agriculture and livestock to the household economy was 54.3% (SD = 38.8). The main purpose of cultivating the vineyards was for sale while on average only 1.4% of the production is kept for household consumption.</w:t>
      </w:r>
    </w:p>
    <w:p w14:paraId="67D257AD" w14:textId="77777777" w:rsidR="007E1A5B" w:rsidRPr="00EB60B4" w:rsidRDefault="007E1A5B" w:rsidP="00EB60B4">
      <w:pPr>
        <w:spacing w:before="120" w:after="120" w:line="276" w:lineRule="auto"/>
        <w:jc w:val="both"/>
        <w:rPr>
          <w:rFonts w:ascii="Times New Roman" w:eastAsia="Calibri" w:hAnsi="Times New Roman" w:cs="Times New Roman"/>
          <w:sz w:val="24"/>
          <w:szCs w:val="24"/>
          <w:lang w:val="en-GB"/>
        </w:rPr>
      </w:pPr>
    </w:p>
    <w:p w14:paraId="6198494C" w14:textId="1FAD5018" w:rsidR="00EB60B4" w:rsidRPr="00EB60B4" w:rsidRDefault="00EB60B4" w:rsidP="00EB60B4">
      <w:pPr>
        <w:spacing w:before="120" w:after="120" w:line="276" w:lineRule="auto"/>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Table 1</w:t>
      </w:r>
      <w:r w:rsidRPr="00C603A7">
        <w:rPr>
          <w:rFonts w:ascii="Times New Roman" w:eastAsia="Calibri" w:hAnsi="Times New Roman" w:cs="Times New Roman"/>
          <w:sz w:val="24"/>
          <w:szCs w:val="24"/>
          <w:lang w:val="en-GB"/>
        </w:rPr>
        <w:t>:</w:t>
      </w:r>
      <w:r w:rsidRPr="00EB60B4">
        <w:rPr>
          <w:rFonts w:ascii="Times New Roman" w:eastAsia="Calibri" w:hAnsi="Times New Roman" w:cs="Times New Roman"/>
          <w:sz w:val="24"/>
          <w:szCs w:val="24"/>
          <w:lang w:val="en-GB"/>
        </w:rPr>
        <w:t xml:space="preserve"> Descriptive Statistics</w:t>
      </w:r>
    </w:p>
    <w:tbl>
      <w:tblPr>
        <w:tblStyle w:val="PlainTable21"/>
        <w:tblW w:w="9351" w:type="dxa"/>
        <w:tblLayout w:type="fixed"/>
        <w:tblLook w:val="04A0" w:firstRow="1" w:lastRow="0" w:firstColumn="1" w:lastColumn="0" w:noHBand="0" w:noVBand="1"/>
      </w:tblPr>
      <w:tblGrid>
        <w:gridCol w:w="5614"/>
        <w:gridCol w:w="885"/>
        <w:gridCol w:w="886"/>
        <w:gridCol w:w="1966"/>
      </w:tblGrid>
      <w:tr w:rsidR="00EB60B4" w:rsidRPr="00EB60B4" w14:paraId="12137080" w14:textId="77777777" w:rsidTr="00F35B58">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5614" w:type="dxa"/>
          </w:tcPr>
          <w:p w14:paraId="2A40CB5E" w14:textId="77777777" w:rsidR="00EB60B4" w:rsidRPr="00EB60B4" w:rsidRDefault="00EB60B4" w:rsidP="00EB60B4">
            <w:pPr>
              <w:rPr>
                <w:rFonts w:ascii="Times New Roman" w:eastAsia="Times New Roman" w:hAnsi="Times New Roman" w:cs="Times New Roman"/>
                <w:color w:val="000000"/>
                <w:lang w:val="en-GB"/>
              </w:rPr>
            </w:pPr>
          </w:p>
        </w:tc>
        <w:tc>
          <w:tcPr>
            <w:tcW w:w="885" w:type="dxa"/>
          </w:tcPr>
          <w:p w14:paraId="12C69810" w14:textId="77777777" w:rsidR="00EB60B4" w:rsidRPr="00EB60B4" w:rsidRDefault="00EB60B4" w:rsidP="00EB60B4">
            <w:pPr>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N</w:t>
            </w:r>
          </w:p>
        </w:tc>
        <w:tc>
          <w:tcPr>
            <w:tcW w:w="886" w:type="dxa"/>
          </w:tcPr>
          <w:p w14:paraId="67C45927" w14:textId="77777777" w:rsidR="00EB60B4" w:rsidRPr="00EB60B4" w:rsidRDefault="00EB60B4" w:rsidP="00EB60B4">
            <w:pPr>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Mean</w:t>
            </w:r>
          </w:p>
        </w:tc>
        <w:tc>
          <w:tcPr>
            <w:tcW w:w="1966" w:type="dxa"/>
          </w:tcPr>
          <w:p w14:paraId="729D27F9" w14:textId="77777777" w:rsidR="00EB60B4" w:rsidRPr="00EB60B4" w:rsidRDefault="00EB60B4" w:rsidP="00EB60B4">
            <w:pPr>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Std. Deviation</w:t>
            </w:r>
          </w:p>
        </w:tc>
      </w:tr>
      <w:tr w:rsidR="00EB60B4" w:rsidRPr="00EB60B4" w14:paraId="47D04A24" w14:textId="77777777" w:rsidTr="00F35B58">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0" w:type="dxa"/>
          </w:tcPr>
          <w:p w14:paraId="0ECF877D" w14:textId="77777777" w:rsidR="00EB60B4" w:rsidRPr="00EB60B4" w:rsidRDefault="00EB60B4" w:rsidP="00EB60B4">
            <w:pPr>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Age</w:t>
            </w:r>
          </w:p>
        </w:tc>
        <w:tc>
          <w:tcPr>
            <w:tcW w:w="0" w:type="dxa"/>
          </w:tcPr>
          <w:p w14:paraId="4A8D8799" w14:textId="77777777" w:rsidR="00EB60B4" w:rsidRPr="00EB60B4" w:rsidRDefault="00EB60B4" w:rsidP="00EB60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222</w:t>
            </w:r>
          </w:p>
        </w:tc>
        <w:tc>
          <w:tcPr>
            <w:tcW w:w="0" w:type="dxa"/>
          </w:tcPr>
          <w:p w14:paraId="3297D379" w14:textId="77777777" w:rsidR="00EB60B4" w:rsidRPr="00EB60B4" w:rsidRDefault="00EB60B4" w:rsidP="00EB60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49,5</w:t>
            </w:r>
          </w:p>
        </w:tc>
        <w:tc>
          <w:tcPr>
            <w:tcW w:w="0" w:type="dxa"/>
          </w:tcPr>
          <w:p w14:paraId="05988919" w14:textId="77777777" w:rsidR="00EB60B4" w:rsidRPr="00EB60B4" w:rsidRDefault="00EB60B4" w:rsidP="00EB60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12,3</w:t>
            </w:r>
          </w:p>
        </w:tc>
      </w:tr>
      <w:tr w:rsidR="00EB60B4" w:rsidRPr="00EB60B4" w14:paraId="772F3930" w14:textId="77777777" w:rsidTr="00F35B58">
        <w:trPr>
          <w:trHeight w:val="204"/>
        </w:trPr>
        <w:tc>
          <w:tcPr>
            <w:cnfStyle w:val="001000000000" w:firstRow="0" w:lastRow="0" w:firstColumn="1" w:lastColumn="0" w:oddVBand="0" w:evenVBand="0" w:oddHBand="0" w:evenHBand="0" w:firstRowFirstColumn="0" w:firstRowLastColumn="0" w:lastRowFirstColumn="0" w:lastRowLastColumn="0"/>
            <w:tcW w:w="5614" w:type="dxa"/>
          </w:tcPr>
          <w:p w14:paraId="1CB91A8D" w14:textId="77777777" w:rsidR="00EB60B4" w:rsidRPr="00EB60B4" w:rsidRDefault="00EB60B4" w:rsidP="00EB60B4">
            <w:pPr>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Vineyards area</w:t>
            </w:r>
          </w:p>
        </w:tc>
        <w:tc>
          <w:tcPr>
            <w:tcW w:w="885" w:type="dxa"/>
          </w:tcPr>
          <w:p w14:paraId="043C540A" w14:textId="77777777" w:rsidR="00EB60B4" w:rsidRPr="00EB60B4" w:rsidRDefault="00EB60B4" w:rsidP="00EB60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222</w:t>
            </w:r>
          </w:p>
        </w:tc>
        <w:tc>
          <w:tcPr>
            <w:tcW w:w="886" w:type="dxa"/>
          </w:tcPr>
          <w:p w14:paraId="1970BBAF" w14:textId="77777777" w:rsidR="00EB60B4" w:rsidRPr="00EB60B4" w:rsidRDefault="00EB60B4" w:rsidP="00EB60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1,2</w:t>
            </w:r>
          </w:p>
        </w:tc>
        <w:tc>
          <w:tcPr>
            <w:tcW w:w="1966" w:type="dxa"/>
          </w:tcPr>
          <w:p w14:paraId="14DCD6F5" w14:textId="77777777" w:rsidR="00EB60B4" w:rsidRPr="00EB60B4" w:rsidRDefault="00EB60B4" w:rsidP="00EB60B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1,1</w:t>
            </w:r>
          </w:p>
        </w:tc>
      </w:tr>
      <w:tr w:rsidR="00EB60B4" w:rsidRPr="00EB60B4" w14:paraId="28B95B38" w14:textId="77777777" w:rsidTr="00F35B58">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0" w:type="dxa"/>
          </w:tcPr>
          <w:p w14:paraId="69B1CB83" w14:textId="77777777" w:rsidR="00EB60B4" w:rsidRPr="00EB60B4" w:rsidRDefault="00EB60B4" w:rsidP="00EB60B4">
            <w:pPr>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Share of household income that come from farming- %</w:t>
            </w:r>
          </w:p>
        </w:tc>
        <w:tc>
          <w:tcPr>
            <w:tcW w:w="0" w:type="dxa"/>
          </w:tcPr>
          <w:p w14:paraId="64D96224" w14:textId="77777777" w:rsidR="00EB60B4" w:rsidRPr="00EB60B4" w:rsidRDefault="00EB60B4" w:rsidP="00EB60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222</w:t>
            </w:r>
          </w:p>
        </w:tc>
        <w:tc>
          <w:tcPr>
            <w:tcW w:w="0" w:type="dxa"/>
          </w:tcPr>
          <w:p w14:paraId="0296DB18" w14:textId="77777777" w:rsidR="00EB60B4" w:rsidRPr="00EB60B4" w:rsidRDefault="00EB60B4" w:rsidP="00EB60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54,3</w:t>
            </w:r>
          </w:p>
        </w:tc>
        <w:tc>
          <w:tcPr>
            <w:tcW w:w="0" w:type="dxa"/>
          </w:tcPr>
          <w:p w14:paraId="705FDD4A" w14:textId="77777777" w:rsidR="00EB60B4" w:rsidRPr="00EB60B4" w:rsidRDefault="00EB60B4" w:rsidP="00EB60B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38,8</w:t>
            </w:r>
          </w:p>
        </w:tc>
      </w:tr>
      <w:tr w:rsidR="00EB60B4" w:rsidRPr="00EB60B4" w14:paraId="300A321B" w14:textId="77777777" w:rsidTr="00F35B58">
        <w:trPr>
          <w:trHeight w:val="670"/>
        </w:trPr>
        <w:tc>
          <w:tcPr>
            <w:cnfStyle w:val="001000000000" w:firstRow="0" w:lastRow="0" w:firstColumn="1" w:lastColumn="0" w:oddVBand="0" w:evenVBand="0" w:oddHBand="0" w:evenHBand="0" w:firstRowFirstColumn="0" w:firstRowLastColumn="0" w:lastRowFirstColumn="0" w:lastRowLastColumn="0"/>
            <w:tcW w:w="5614" w:type="dxa"/>
          </w:tcPr>
          <w:p w14:paraId="69ED3D25" w14:textId="77777777" w:rsidR="00EB60B4" w:rsidRPr="00EB60B4" w:rsidRDefault="00EB60B4" w:rsidP="00EB60B4">
            <w:pPr>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Distribution channels/destination as a share of total production (grape), self-consumption</w:t>
            </w:r>
          </w:p>
        </w:tc>
        <w:tc>
          <w:tcPr>
            <w:tcW w:w="885" w:type="dxa"/>
          </w:tcPr>
          <w:p w14:paraId="4D4FB16C" w14:textId="77777777" w:rsidR="00EB60B4" w:rsidRPr="00EB60B4" w:rsidRDefault="00EB60B4" w:rsidP="00EB60B4">
            <w:pPr>
              <w:ind w:lef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221</w:t>
            </w:r>
          </w:p>
        </w:tc>
        <w:tc>
          <w:tcPr>
            <w:tcW w:w="886" w:type="dxa"/>
          </w:tcPr>
          <w:p w14:paraId="0556552E" w14:textId="77777777" w:rsidR="00EB60B4" w:rsidRPr="00EB60B4" w:rsidRDefault="00EB60B4" w:rsidP="00EB60B4">
            <w:pPr>
              <w:ind w:lef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1,4</w:t>
            </w:r>
          </w:p>
        </w:tc>
        <w:tc>
          <w:tcPr>
            <w:tcW w:w="1966" w:type="dxa"/>
          </w:tcPr>
          <w:p w14:paraId="5C0E6A20" w14:textId="77777777" w:rsidR="00EB60B4" w:rsidRPr="00EB60B4" w:rsidRDefault="00EB60B4" w:rsidP="00EB60B4">
            <w:pPr>
              <w:ind w:left="6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5,3</w:t>
            </w:r>
          </w:p>
        </w:tc>
      </w:tr>
    </w:tbl>
    <w:p w14:paraId="467F42E8" w14:textId="1B369CFE" w:rsidR="00870A6A" w:rsidRDefault="00870A6A" w:rsidP="00EB60B4">
      <w:pPr>
        <w:autoSpaceDE w:val="0"/>
        <w:autoSpaceDN w:val="0"/>
        <w:adjustRightInd w:val="0"/>
        <w:spacing w:after="0" w:line="276" w:lineRule="auto"/>
        <w:rPr>
          <w:rFonts w:ascii="Times New Roman" w:eastAsia="Calibri" w:hAnsi="Times New Roman" w:cs="Times New Roman"/>
          <w:i/>
          <w:sz w:val="20"/>
          <w:szCs w:val="20"/>
          <w:lang w:val="en-GB"/>
        </w:rPr>
      </w:pPr>
    </w:p>
    <w:p w14:paraId="19318688" w14:textId="3A9E6F09" w:rsidR="00870A6A" w:rsidRDefault="00870A6A" w:rsidP="00EB60B4">
      <w:pPr>
        <w:autoSpaceDE w:val="0"/>
        <w:autoSpaceDN w:val="0"/>
        <w:adjustRightInd w:val="0"/>
        <w:spacing w:after="0" w:line="276" w:lineRule="auto"/>
        <w:rPr>
          <w:rFonts w:ascii="Times New Roman" w:eastAsia="Calibri" w:hAnsi="Times New Roman" w:cs="Times New Roman"/>
          <w:i/>
          <w:sz w:val="20"/>
          <w:szCs w:val="20"/>
          <w:lang w:val="en-GB"/>
        </w:rPr>
      </w:pPr>
    </w:p>
    <w:p w14:paraId="6B167360" w14:textId="77777777" w:rsidR="00561FC0" w:rsidRDefault="00561FC0" w:rsidP="00EB60B4">
      <w:pPr>
        <w:autoSpaceDE w:val="0"/>
        <w:autoSpaceDN w:val="0"/>
        <w:adjustRightInd w:val="0"/>
        <w:spacing w:after="0" w:line="276" w:lineRule="auto"/>
        <w:rPr>
          <w:rFonts w:ascii="Times New Roman" w:eastAsia="Calibri" w:hAnsi="Times New Roman" w:cs="Times New Roman"/>
          <w:i/>
          <w:sz w:val="20"/>
          <w:szCs w:val="20"/>
          <w:lang w:val="en-GB"/>
        </w:rPr>
      </w:pPr>
    </w:p>
    <w:p w14:paraId="6E16DE65" w14:textId="780BE2C8" w:rsidR="00EB60B4" w:rsidRPr="00EB60B4" w:rsidRDefault="00EB60B4" w:rsidP="00EB60B4">
      <w:pPr>
        <w:autoSpaceDE w:val="0"/>
        <w:autoSpaceDN w:val="0"/>
        <w:adjustRightInd w:val="0"/>
        <w:spacing w:after="0" w:line="276" w:lineRule="auto"/>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Table 2</w:t>
      </w:r>
      <w:r w:rsidRPr="00C603A7">
        <w:rPr>
          <w:rFonts w:ascii="Times New Roman" w:eastAsia="Calibri" w:hAnsi="Times New Roman" w:cs="Times New Roman"/>
          <w:sz w:val="24"/>
          <w:szCs w:val="24"/>
          <w:lang w:val="en-GB"/>
        </w:rPr>
        <w:t>:</w:t>
      </w:r>
      <w:r w:rsidRPr="00EB60B4">
        <w:rPr>
          <w:rFonts w:ascii="Times New Roman" w:eastAsia="Calibri" w:hAnsi="Times New Roman" w:cs="Times New Roman"/>
          <w:sz w:val="24"/>
          <w:szCs w:val="24"/>
          <w:lang w:val="en-GB"/>
        </w:rPr>
        <w:t xml:space="preserve"> Frequency table for variables</w:t>
      </w:r>
    </w:p>
    <w:p w14:paraId="7E5EBEA0" w14:textId="77777777" w:rsidR="00EB60B4" w:rsidRPr="00EB60B4" w:rsidRDefault="00EB60B4" w:rsidP="00EB60B4">
      <w:pPr>
        <w:autoSpaceDE w:val="0"/>
        <w:autoSpaceDN w:val="0"/>
        <w:adjustRightInd w:val="0"/>
        <w:spacing w:after="0" w:line="240" w:lineRule="auto"/>
        <w:jc w:val="center"/>
        <w:rPr>
          <w:rFonts w:ascii="Times New Roman" w:eastAsia="Calibri" w:hAnsi="Times New Roman" w:cs="Times New Roman"/>
          <w:b/>
          <w:bCs/>
          <w:sz w:val="24"/>
          <w:szCs w:val="24"/>
          <w:lang w:val="en-GB"/>
        </w:rPr>
      </w:pPr>
    </w:p>
    <w:tbl>
      <w:tblPr>
        <w:tblW w:w="9209" w:type="dxa"/>
        <w:tblBorders>
          <w:insideH w:val="single" w:sz="4" w:space="0" w:color="auto"/>
        </w:tblBorders>
        <w:tblLayout w:type="fixed"/>
        <w:tblLook w:val="0000" w:firstRow="0" w:lastRow="0" w:firstColumn="0" w:lastColumn="0" w:noHBand="0" w:noVBand="0"/>
      </w:tblPr>
      <w:tblGrid>
        <w:gridCol w:w="5681"/>
        <w:gridCol w:w="3528"/>
      </w:tblGrid>
      <w:tr w:rsidR="00EB60B4" w:rsidRPr="00EB60B4" w14:paraId="4471D7F2" w14:textId="77777777" w:rsidTr="00F35B58">
        <w:trPr>
          <w:trHeight w:val="412"/>
        </w:trPr>
        <w:tc>
          <w:tcPr>
            <w:tcW w:w="5681" w:type="dxa"/>
            <w:tcBorders>
              <w:top w:val="single" w:sz="4" w:space="0" w:color="auto"/>
              <w:bottom w:val="single" w:sz="4" w:space="0" w:color="auto"/>
            </w:tcBorders>
          </w:tcPr>
          <w:p w14:paraId="13C3FCBC" w14:textId="77777777" w:rsidR="00EB60B4" w:rsidRPr="00EB60B4" w:rsidRDefault="00EB60B4" w:rsidP="00EB60B4">
            <w:pPr>
              <w:spacing w:after="0" w:line="240" w:lineRule="auto"/>
              <w:rPr>
                <w:rFonts w:ascii="Times New Roman" w:eastAsia="Times New Roman" w:hAnsi="Times New Roman" w:cs="Times New Roman"/>
                <w:b/>
                <w:bCs/>
                <w:color w:val="000000"/>
                <w:lang w:val="en-GB"/>
              </w:rPr>
            </w:pPr>
            <w:r w:rsidRPr="00EB60B4">
              <w:rPr>
                <w:rFonts w:ascii="Times New Roman" w:eastAsia="Times New Roman" w:hAnsi="Times New Roman" w:cs="Times New Roman"/>
                <w:b/>
                <w:bCs/>
                <w:color w:val="000000"/>
                <w:lang w:val="en-GB"/>
              </w:rPr>
              <w:t>Household head education</w:t>
            </w:r>
          </w:p>
        </w:tc>
        <w:tc>
          <w:tcPr>
            <w:tcW w:w="3528" w:type="dxa"/>
            <w:tcBorders>
              <w:top w:val="single" w:sz="4" w:space="0" w:color="auto"/>
              <w:bottom w:val="single" w:sz="4" w:space="0" w:color="auto"/>
            </w:tcBorders>
          </w:tcPr>
          <w:p w14:paraId="60C36E78" w14:textId="77777777" w:rsidR="00EB60B4" w:rsidRPr="00EB60B4" w:rsidRDefault="00EB60B4" w:rsidP="00EB60B4">
            <w:pPr>
              <w:spacing w:after="0" w:line="240" w:lineRule="auto"/>
              <w:rPr>
                <w:rFonts w:ascii="Times New Roman" w:eastAsia="Times New Roman" w:hAnsi="Times New Roman" w:cs="Times New Roman"/>
                <w:b/>
                <w:bCs/>
                <w:color w:val="000000"/>
                <w:lang w:val="en-GB"/>
              </w:rPr>
            </w:pPr>
            <w:r w:rsidRPr="00EB60B4">
              <w:rPr>
                <w:rFonts w:ascii="Times New Roman" w:eastAsia="Times New Roman" w:hAnsi="Times New Roman" w:cs="Times New Roman"/>
                <w:b/>
                <w:bCs/>
                <w:color w:val="000000"/>
                <w:lang w:val="en-GB"/>
              </w:rPr>
              <w:t>Percent</w:t>
            </w:r>
          </w:p>
        </w:tc>
      </w:tr>
      <w:tr w:rsidR="00EB60B4" w:rsidRPr="00EB60B4" w14:paraId="1A9A3EA2" w14:textId="77777777" w:rsidTr="00F35B58">
        <w:trPr>
          <w:trHeight w:val="265"/>
        </w:trPr>
        <w:tc>
          <w:tcPr>
            <w:tcW w:w="5681" w:type="dxa"/>
            <w:tcBorders>
              <w:top w:val="single" w:sz="4" w:space="0" w:color="auto"/>
            </w:tcBorders>
          </w:tcPr>
          <w:p w14:paraId="5E763D66"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lastRenderedPageBreak/>
              <w:t>No education</w:t>
            </w:r>
          </w:p>
        </w:tc>
        <w:tc>
          <w:tcPr>
            <w:tcW w:w="3528" w:type="dxa"/>
            <w:tcBorders>
              <w:top w:val="single" w:sz="4" w:space="0" w:color="auto"/>
            </w:tcBorders>
          </w:tcPr>
          <w:p w14:paraId="791E4DC4"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3,6</w:t>
            </w:r>
          </w:p>
        </w:tc>
      </w:tr>
      <w:tr w:rsidR="00EB60B4" w:rsidRPr="00EB60B4" w14:paraId="2DB4D9C6" w14:textId="77777777" w:rsidTr="00F35B58">
        <w:trPr>
          <w:trHeight w:val="121"/>
        </w:trPr>
        <w:tc>
          <w:tcPr>
            <w:tcW w:w="5681" w:type="dxa"/>
          </w:tcPr>
          <w:p w14:paraId="2A618C05"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Basic</w:t>
            </w:r>
          </w:p>
        </w:tc>
        <w:tc>
          <w:tcPr>
            <w:tcW w:w="3528" w:type="dxa"/>
          </w:tcPr>
          <w:p w14:paraId="7B455402"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42,8</w:t>
            </w:r>
          </w:p>
        </w:tc>
      </w:tr>
      <w:tr w:rsidR="00EB60B4" w:rsidRPr="00EB60B4" w14:paraId="4D8CA211" w14:textId="77777777" w:rsidTr="00F35B58">
        <w:trPr>
          <w:trHeight w:val="294"/>
        </w:trPr>
        <w:tc>
          <w:tcPr>
            <w:tcW w:w="5681" w:type="dxa"/>
          </w:tcPr>
          <w:p w14:paraId="0E133CF3"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Agriculture high school</w:t>
            </w:r>
          </w:p>
        </w:tc>
        <w:tc>
          <w:tcPr>
            <w:tcW w:w="3528" w:type="dxa"/>
          </w:tcPr>
          <w:p w14:paraId="1315FCB7"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6,3</w:t>
            </w:r>
          </w:p>
        </w:tc>
      </w:tr>
      <w:tr w:rsidR="00EB60B4" w:rsidRPr="00EB60B4" w14:paraId="43D9A49F" w14:textId="77777777" w:rsidTr="00F35B58">
        <w:trPr>
          <w:trHeight w:val="38"/>
        </w:trPr>
        <w:tc>
          <w:tcPr>
            <w:tcW w:w="5681" w:type="dxa"/>
          </w:tcPr>
          <w:p w14:paraId="273238C0"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Other high school</w:t>
            </w:r>
          </w:p>
        </w:tc>
        <w:tc>
          <w:tcPr>
            <w:tcW w:w="3528" w:type="dxa"/>
          </w:tcPr>
          <w:p w14:paraId="4CB7D7AB"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31,1</w:t>
            </w:r>
          </w:p>
        </w:tc>
      </w:tr>
      <w:tr w:rsidR="00EB60B4" w:rsidRPr="00EB60B4" w14:paraId="25DCCEC9" w14:textId="77777777" w:rsidTr="00F35B58">
        <w:trPr>
          <w:trHeight w:val="283"/>
        </w:trPr>
        <w:tc>
          <w:tcPr>
            <w:tcW w:w="5681" w:type="dxa"/>
            <w:tcBorders>
              <w:bottom w:val="single" w:sz="4" w:space="0" w:color="auto"/>
            </w:tcBorders>
          </w:tcPr>
          <w:p w14:paraId="0F8D3803"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University</w:t>
            </w:r>
          </w:p>
        </w:tc>
        <w:tc>
          <w:tcPr>
            <w:tcW w:w="3528" w:type="dxa"/>
            <w:tcBorders>
              <w:bottom w:val="single" w:sz="4" w:space="0" w:color="auto"/>
            </w:tcBorders>
          </w:tcPr>
          <w:p w14:paraId="37AA932C"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16,2</w:t>
            </w:r>
          </w:p>
        </w:tc>
      </w:tr>
      <w:tr w:rsidR="00EB60B4" w:rsidRPr="00EB60B4" w14:paraId="7CD9548C" w14:textId="77777777" w:rsidTr="00F35B58">
        <w:trPr>
          <w:trHeight w:val="435"/>
        </w:trPr>
        <w:tc>
          <w:tcPr>
            <w:tcW w:w="5681" w:type="dxa"/>
            <w:tcBorders>
              <w:top w:val="single" w:sz="4" w:space="0" w:color="auto"/>
              <w:bottom w:val="single" w:sz="4" w:space="0" w:color="auto"/>
            </w:tcBorders>
          </w:tcPr>
          <w:p w14:paraId="22F5B9A8"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Total</w:t>
            </w:r>
          </w:p>
        </w:tc>
        <w:tc>
          <w:tcPr>
            <w:tcW w:w="3528" w:type="dxa"/>
            <w:tcBorders>
              <w:top w:val="single" w:sz="4" w:space="0" w:color="auto"/>
              <w:bottom w:val="single" w:sz="4" w:space="0" w:color="auto"/>
            </w:tcBorders>
          </w:tcPr>
          <w:p w14:paraId="47E02431" w14:textId="77777777" w:rsidR="00EB60B4" w:rsidRPr="00EB60B4" w:rsidRDefault="00EB60B4" w:rsidP="00EB60B4">
            <w:pPr>
              <w:spacing w:after="0" w:line="240" w:lineRule="auto"/>
              <w:rPr>
                <w:rFonts w:ascii="Times New Roman" w:eastAsia="Times New Roman" w:hAnsi="Times New Roman" w:cs="Times New Roman"/>
                <w:color w:val="000000"/>
                <w:lang w:val="en-GB"/>
              </w:rPr>
            </w:pPr>
            <w:r w:rsidRPr="00EB60B4">
              <w:rPr>
                <w:rFonts w:ascii="Times New Roman" w:eastAsia="Times New Roman" w:hAnsi="Times New Roman" w:cs="Times New Roman"/>
                <w:color w:val="000000"/>
                <w:lang w:val="en-GB"/>
              </w:rPr>
              <w:t>100,0</w:t>
            </w:r>
          </w:p>
        </w:tc>
      </w:tr>
    </w:tbl>
    <w:p w14:paraId="26EE9EF5" w14:textId="77777777" w:rsidR="00EB60B4" w:rsidRPr="00EB60B4" w:rsidRDefault="00EB60B4" w:rsidP="00EB60B4">
      <w:pPr>
        <w:spacing w:before="120" w:after="120" w:line="276" w:lineRule="auto"/>
        <w:jc w:val="both"/>
        <w:rPr>
          <w:rFonts w:ascii="Calibri" w:eastAsia="Calibri" w:hAnsi="Calibri" w:cs="Times New Roman"/>
          <w:lang w:val="en-GB"/>
        </w:rPr>
      </w:pPr>
    </w:p>
    <w:p w14:paraId="2B54F007" w14:textId="77777777" w:rsidR="00EB60B4" w:rsidRPr="00626499" w:rsidRDefault="00EB60B4" w:rsidP="00EB60B4">
      <w:pPr>
        <w:spacing w:before="120" w:after="120" w:line="276" w:lineRule="auto"/>
        <w:jc w:val="both"/>
        <w:rPr>
          <w:rFonts w:ascii="Times New Roman" w:eastAsia="Calibri" w:hAnsi="Times New Roman" w:cs="Times New Roman"/>
          <w:b/>
          <w:bCs/>
          <w:sz w:val="24"/>
          <w:szCs w:val="24"/>
          <w:lang w:val="en-GB"/>
        </w:rPr>
      </w:pPr>
      <w:r w:rsidRPr="00626499">
        <w:rPr>
          <w:rFonts w:ascii="Times New Roman" w:eastAsia="Calibri" w:hAnsi="Times New Roman" w:cs="Times New Roman"/>
          <w:b/>
          <w:bCs/>
          <w:sz w:val="24"/>
          <w:szCs w:val="24"/>
          <w:lang w:val="en-GB"/>
        </w:rPr>
        <w:t xml:space="preserve">Questionnaire structure and variables </w:t>
      </w:r>
    </w:p>
    <w:p w14:paraId="7488F9E8" w14:textId="7F3F9058" w:rsidR="00EB60B4" w:rsidRPr="00EB60B4" w:rsidRDefault="00EB60B4" w:rsidP="00EB60B4">
      <w:pPr>
        <w:spacing w:before="120" w:after="120" w:line="276" w:lineRule="auto"/>
        <w:jc w:val="both"/>
        <w:rPr>
          <w:rFonts w:ascii="Times New Roman" w:eastAsia="Calibri" w:hAnsi="Times New Roman" w:cs="Times New Roman"/>
          <w:b/>
          <w:bCs/>
          <w:i/>
          <w:iCs/>
          <w:color w:val="44546A"/>
          <w:sz w:val="24"/>
          <w:szCs w:val="24"/>
          <w:lang w:val="en-GB"/>
        </w:rPr>
      </w:pPr>
      <w:r w:rsidRPr="00EB60B4">
        <w:rPr>
          <w:rFonts w:ascii="Times New Roman" w:eastAsia="Times New Roman" w:hAnsi="Times New Roman" w:cs="Times New Roman"/>
          <w:color w:val="222222"/>
          <w:sz w:val="24"/>
          <w:szCs w:val="24"/>
          <w:lang w:val="en-GB" w:eastAsia="sq-AL"/>
        </w:rPr>
        <w:t>In the questionnaire</w:t>
      </w:r>
      <w:r w:rsidR="00870A6A">
        <w:rPr>
          <w:rFonts w:ascii="Times New Roman" w:eastAsia="Times New Roman" w:hAnsi="Times New Roman" w:cs="Times New Roman"/>
          <w:color w:val="222222"/>
          <w:sz w:val="24"/>
          <w:szCs w:val="24"/>
          <w:lang w:val="en-GB" w:eastAsia="sq-AL"/>
        </w:rPr>
        <w:t>,</w:t>
      </w:r>
      <w:r w:rsidRPr="00EB60B4">
        <w:rPr>
          <w:rFonts w:ascii="Times New Roman" w:eastAsia="Times New Roman" w:hAnsi="Times New Roman" w:cs="Times New Roman"/>
          <w:color w:val="222222"/>
          <w:sz w:val="24"/>
          <w:szCs w:val="24"/>
          <w:lang w:val="en-GB" w:eastAsia="sq-AL"/>
        </w:rPr>
        <w:t xml:space="preserve"> farmers were asked to provide data about household characteristics, farm characteristics, </w:t>
      </w:r>
      <w:r w:rsidR="00870A6A">
        <w:rPr>
          <w:rFonts w:ascii="Times New Roman" w:eastAsia="Times New Roman" w:hAnsi="Times New Roman" w:cs="Times New Roman"/>
          <w:color w:val="222222"/>
          <w:sz w:val="24"/>
          <w:szCs w:val="24"/>
          <w:lang w:val="en-GB" w:eastAsia="sq-AL"/>
        </w:rPr>
        <w:t>type</w:t>
      </w:r>
      <w:r w:rsidR="00870A6A" w:rsidRPr="00EB60B4">
        <w:rPr>
          <w:rFonts w:ascii="Times New Roman" w:eastAsia="Times New Roman" w:hAnsi="Times New Roman" w:cs="Times New Roman"/>
          <w:color w:val="222222"/>
          <w:sz w:val="24"/>
          <w:szCs w:val="24"/>
          <w:lang w:val="en-GB" w:eastAsia="sq-AL"/>
        </w:rPr>
        <w:t xml:space="preserve"> </w:t>
      </w:r>
      <w:r w:rsidRPr="00EB60B4">
        <w:rPr>
          <w:rFonts w:ascii="Times New Roman" w:eastAsia="Times New Roman" w:hAnsi="Times New Roman" w:cs="Times New Roman"/>
          <w:color w:val="222222"/>
          <w:sz w:val="24"/>
          <w:szCs w:val="24"/>
          <w:lang w:val="en-GB" w:eastAsia="sq-AL"/>
        </w:rPr>
        <w:t xml:space="preserve">of production and level of </w:t>
      </w:r>
      <w:r w:rsidR="00870A6A">
        <w:rPr>
          <w:rFonts w:ascii="Times New Roman" w:eastAsia="Times New Roman" w:hAnsi="Times New Roman" w:cs="Times New Roman"/>
          <w:color w:val="222222"/>
          <w:sz w:val="24"/>
          <w:szCs w:val="24"/>
          <w:lang w:val="en-GB" w:eastAsia="sq-AL"/>
        </w:rPr>
        <w:t>specialisation</w:t>
      </w:r>
      <w:r w:rsidRPr="00EB60B4">
        <w:rPr>
          <w:rFonts w:ascii="Times New Roman" w:eastAsia="Times New Roman" w:hAnsi="Times New Roman" w:cs="Times New Roman"/>
          <w:color w:val="222222"/>
          <w:sz w:val="24"/>
          <w:szCs w:val="24"/>
          <w:lang w:val="en-GB" w:eastAsia="sq-AL"/>
        </w:rPr>
        <w:t>. In addition</w:t>
      </w:r>
      <w:r w:rsidR="00870A6A">
        <w:rPr>
          <w:rFonts w:ascii="Times New Roman" w:eastAsia="Times New Roman" w:hAnsi="Times New Roman" w:cs="Times New Roman"/>
          <w:color w:val="222222"/>
          <w:sz w:val="24"/>
          <w:szCs w:val="24"/>
          <w:lang w:val="en-GB" w:eastAsia="sq-AL"/>
        </w:rPr>
        <w:t>,</w:t>
      </w:r>
      <w:r w:rsidRPr="00EB60B4">
        <w:rPr>
          <w:rFonts w:ascii="Times New Roman" w:eastAsia="Times New Roman" w:hAnsi="Times New Roman" w:cs="Times New Roman"/>
          <w:color w:val="222222"/>
          <w:sz w:val="24"/>
          <w:szCs w:val="24"/>
          <w:lang w:val="en-GB" w:eastAsia="sq-AL"/>
        </w:rPr>
        <w:t xml:space="preserve"> farmers were asked to express their level of financial </w:t>
      </w:r>
      <w:r w:rsidR="00870A6A">
        <w:rPr>
          <w:rFonts w:ascii="Times New Roman" w:eastAsia="Times New Roman" w:hAnsi="Times New Roman" w:cs="Times New Roman"/>
          <w:color w:val="222222"/>
          <w:sz w:val="24"/>
          <w:szCs w:val="24"/>
          <w:lang w:val="en-GB" w:eastAsia="sq-AL"/>
        </w:rPr>
        <w:t>education</w:t>
      </w:r>
      <w:r w:rsidR="00870A6A" w:rsidRPr="00EB60B4">
        <w:rPr>
          <w:rFonts w:ascii="Times New Roman" w:eastAsia="Times New Roman" w:hAnsi="Times New Roman" w:cs="Times New Roman"/>
          <w:color w:val="222222"/>
          <w:sz w:val="24"/>
          <w:szCs w:val="24"/>
          <w:lang w:val="en-GB" w:eastAsia="sq-AL"/>
        </w:rPr>
        <w:t xml:space="preserve"> </w:t>
      </w:r>
      <w:r w:rsidRPr="00EB60B4">
        <w:rPr>
          <w:rFonts w:ascii="Times New Roman" w:eastAsia="Times New Roman" w:hAnsi="Times New Roman" w:cs="Times New Roman"/>
          <w:color w:val="222222"/>
          <w:sz w:val="24"/>
          <w:szCs w:val="24"/>
          <w:lang w:val="en-GB" w:eastAsia="sq-AL"/>
        </w:rPr>
        <w:t>by providing the. More specific information on the structure and formulation of the questions and the measurement rate of the variables to be studied is given in the Table 1.</w:t>
      </w:r>
    </w:p>
    <w:p w14:paraId="45E8306B" w14:textId="77777777" w:rsidR="00EB60B4" w:rsidRPr="00EB60B4" w:rsidRDefault="00EB60B4" w:rsidP="00EB60B4">
      <w:pPr>
        <w:spacing w:before="120" w:after="120" w:line="276" w:lineRule="auto"/>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Table 3: Study variables</w:t>
      </w:r>
    </w:p>
    <w:tbl>
      <w:tblPr>
        <w:tblStyle w:val="ListTable21"/>
        <w:tblW w:w="0" w:type="auto"/>
        <w:tblLook w:val="0600" w:firstRow="0" w:lastRow="0" w:firstColumn="0" w:lastColumn="0" w:noHBand="1" w:noVBand="1"/>
      </w:tblPr>
      <w:tblGrid>
        <w:gridCol w:w="2610"/>
        <w:gridCol w:w="3780"/>
        <w:gridCol w:w="2970"/>
      </w:tblGrid>
      <w:tr w:rsidR="00EB60B4" w:rsidRPr="00EB60B4" w14:paraId="1424B56F" w14:textId="77777777" w:rsidTr="00F35B58">
        <w:trPr>
          <w:trHeight w:val="293"/>
        </w:trPr>
        <w:tc>
          <w:tcPr>
            <w:tcW w:w="2610" w:type="dxa"/>
          </w:tcPr>
          <w:p w14:paraId="77964B84" w14:textId="77777777" w:rsidR="00EB60B4" w:rsidRPr="00EB60B4" w:rsidRDefault="00EB60B4" w:rsidP="00EB60B4">
            <w:pPr>
              <w:spacing w:line="276" w:lineRule="auto"/>
              <w:rPr>
                <w:rFonts w:ascii="Times New Roman" w:hAnsi="Times New Roman" w:cs="Times New Roman"/>
                <w:b/>
                <w:bCs/>
                <w:color w:val="000000"/>
                <w:lang w:val="en-GB"/>
              </w:rPr>
            </w:pPr>
            <w:r w:rsidRPr="00EB60B4">
              <w:rPr>
                <w:rFonts w:ascii="Times New Roman" w:hAnsi="Times New Roman" w:cs="Times New Roman"/>
                <w:b/>
                <w:bCs/>
                <w:color w:val="000000"/>
                <w:lang w:val="en-GB"/>
              </w:rPr>
              <w:t>Variable</w:t>
            </w:r>
          </w:p>
        </w:tc>
        <w:tc>
          <w:tcPr>
            <w:tcW w:w="3780" w:type="dxa"/>
            <w:hideMark/>
          </w:tcPr>
          <w:p w14:paraId="5BDBEE34" w14:textId="77777777" w:rsidR="00EB60B4" w:rsidRPr="00EB60B4" w:rsidRDefault="00EB60B4" w:rsidP="00EB60B4">
            <w:pPr>
              <w:spacing w:line="276" w:lineRule="auto"/>
              <w:rPr>
                <w:rFonts w:ascii="Times New Roman" w:hAnsi="Times New Roman" w:cs="Times New Roman"/>
                <w:b/>
                <w:bCs/>
                <w:color w:val="000000"/>
                <w:lang w:val="en-GB"/>
              </w:rPr>
            </w:pPr>
            <w:r w:rsidRPr="00EB60B4">
              <w:rPr>
                <w:rFonts w:ascii="Times New Roman" w:hAnsi="Times New Roman" w:cs="Times New Roman"/>
                <w:b/>
                <w:bCs/>
                <w:color w:val="000000"/>
                <w:lang w:val="en-GB"/>
              </w:rPr>
              <w:t xml:space="preserve">Question </w:t>
            </w:r>
          </w:p>
        </w:tc>
        <w:tc>
          <w:tcPr>
            <w:tcW w:w="2970" w:type="dxa"/>
          </w:tcPr>
          <w:p w14:paraId="1F4E266C" w14:textId="77777777" w:rsidR="00EB60B4" w:rsidRPr="00EB60B4" w:rsidRDefault="00EB60B4" w:rsidP="00EB60B4">
            <w:pPr>
              <w:spacing w:line="276" w:lineRule="auto"/>
              <w:jc w:val="center"/>
              <w:rPr>
                <w:rFonts w:ascii="Times New Roman" w:hAnsi="Times New Roman" w:cs="Times New Roman"/>
                <w:b/>
                <w:bCs/>
                <w:color w:val="000000"/>
                <w:lang w:val="en-GB"/>
              </w:rPr>
            </w:pPr>
            <w:r w:rsidRPr="00EB60B4">
              <w:rPr>
                <w:rFonts w:ascii="Times New Roman" w:hAnsi="Times New Roman" w:cs="Times New Roman"/>
                <w:b/>
                <w:bCs/>
                <w:color w:val="000000"/>
                <w:lang w:val="en-GB"/>
              </w:rPr>
              <w:t>Measure of variables</w:t>
            </w:r>
          </w:p>
        </w:tc>
      </w:tr>
      <w:tr w:rsidR="00EB60B4" w:rsidRPr="00EB60B4" w14:paraId="78B6CD87" w14:textId="77777777" w:rsidTr="00F35B58">
        <w:trPr>
          <w:trHeight w:val="293"/>
        </w:trPr>
        <w:tc>
          <w:tcPr>
            <w:tcW w:w="2610" w:type="dxa"/>
          </w:tcPr>
          <w:p w14:paraId="5F511FA4" w14:textId="77777777" w:rsidR="00EB60B4" w:rsidRPr="00EB60B4" w:rsidRDefault="00EB60B4" w:rsidP="00EB60B4">
            <w:pPr>
              <w:spacing w:line="276" w:lineRule="auto"/>
              <w:rPr>
                <w:rFonts w:ascii="Times New Roman" w:hAnsi="Times New Roman" w:cs="Times New Roman"/>
                <w:b/>
                <w:bCs/>
                <w:color w:val="000000"/>
                <w:lang w:val="en-GB"/>
              </w:rPr>
            </w:pPr>
            <w:r w:rsidRPr="00EB60B4">
              <w:rPr>
                <w:rFonts w:ascii="Times New Roman" w:hAnsi="Times New Roman" w:cs="Times New Roman"/>
                <w:b/>
                <w:bCs/>
                <w:color w:val="000000"/>
                <w:lang w:val="en-GB"/>
              </w:rPr>
              <w:t xml:space="preserve">Depended variable </w:t>
            </w:r>
          </w:p>
        </w:tc>
        <w:tc>
          <w:tcPr>
            <w:tcW w:w="3780" w:type="dxa"/>
          </w:tcPr>
          <w:p w14:paraId="4637B8E2" w14:textId="77777777" w:rsidR="00EB60B4" w:rsidRPr="00EB60B4" w:rsidRDefault="00EB60B4" w:rsidP="00EB60B4">
            <w:pPr>
              <w:spacing w:line="276" w:lineRule="auto"/>
              <w:rPr>
                <w:rFonts w:ascii="Times New Roman" w:hAnsi="Times New Roman" w:cs="Times New Roman"/>
                <w:b/>
                <w:bCs/>
                <w:color w:val="000000"/>
                <w:lang w:val="en-GB"/>
              </w:rPr>
            </w:pPr>
          </w:p>
        </w:tc>
        <w:tc>
          <w:tcPr>
            <w:tcW w:w="2970" w:type="dxa"/>
          </w:tcPr>
          <w:p w14:paraId="62BC9BED" w14:textId="77777777" w:rsidR="00EB60B4" w:rsidRPr="00EB60B4" w:rsidRDefault="00EB60B4" w:rsidP="00EB60B4">
            <w:pPr>
              <w:spacing w:line="276" w:lineRule="auto"/>
              <w:jc w:val="center"/>
              <w:rPr>
                <w:rFonts w:ascii="Times New Roman" w:hAnsi="Times New Roman" w:cs="Times New Roman"/>
                <w:b/>
                <w:bCs/>
                <w:color w:val="000000"/>
                <w:lang w:val="en-GB"/>
              </w:rPr>
            </w:pPr>
          </w:p>
        </w:tc>
      </w:tr>
      <w:tr w:rsidR="00EB60B4" w:rsidRPr="00EB60B4" w14:paraId="49AA4FB2" w14:textId="77777777" w:rsidTr="00F35B58">
        <w:trPr>
          <w:trHeight w:val="293"/>
        </w:trPr>
        <w:tc>
          <w:tcPr>
            <w:tcW w:w="2610" w:type="dxa"/>
          </w:tcPr>
          <w:p w14:paraId="17F7AC9B" w14:textId="77777777" w:rsidR="00EB60B4" w:rsidRPr="00EB60B4" w:rsidRDefault="00EB60B4" w:rsidP="00EB60B4">
            <w:pPr>
              <w:spacing w:line="276" w:lineRule="auto"/>
              <w:rPr>
                <w:rFonts w:ascii="Times New Roman" w:hAnsi="Times New Roman" w:cs="Times New Roman"/>
                <w:b/>
                <w:bCs/>
                <w:color w:val="000000"/>
                <w:lang w:val="en-GB"/>
              </w:rPr>
            </w:pPr>
            <w:proofErr w:type="spellStart"/>
            <w:r w:rsidRPr="00EB60B4">
              <w:rPr>
                <w:rFonts w:ascii="Times New Roman" w:hAnsi="Times New Roman" w:cs="Times New Roman"/>
                <w:b/>
                <w:bCs/>
                <w:color w:val="000000"/>
                <w:lang w:val="en-GB"/>
              </w:rPr>
              <w:t>Notekeeping_scale</w:t>
            </w:r>
            <w:proofErr w:type="spellEnd"/>
          </w:p>
        </w:tc>
        <w:tc>
          <w:tcPr>
            <w:tcW w:w="3780" w:type="dxa"/>
          </w:tcPr>
          <w:p w14:paraId="13A573D4" w14:textId="77777777" w:rsidR="00EB60B4" w:rsidRPr="00EB60B4" w:rsidRDefault="00EB60B4" w:rsidP="00EB60B4">
            <w:pPr>
              <w:spacing w:line="276" w:lineRule="auto"/>
              <w:rPr>
                <w:rFonts w:ascii="Times New Roman" w:hAnsi="Times New Roman" w:cs="Times New Roman"/>
                <w:b/>
                <w:bCs/>
                <w:color w:val="000000"/>
                <w:lang w:val="en-GB"/>
              </w:rPr>
            </w:pPr>
            <w:r w:rsidRPr="00EB60B4">
              <w:rPr>
                <w:rFonts w:ascii="Times New Roman" w:hAnsi="Times New Roman" w:cs="Times New Roman"/>
                <w:bCs/>
                <w:color w:val="000000"/>
                <w:lang w:val="en-GB"/>
              </w:rPr>
              <w:t>Keep notes for expenses and revenues</w:t>
            </w:r>
          </w:p>
        </w:tc>
        <w:tc>
          <w:tcPr>
            <w:tcW w:w="2970" w:type="dxa"/>
          </w:tcPr>
          <w:p w14:paraId="4D59445C"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Ordinal</w:t>
            </w:r>
          </w:p>
          <w:p w14:paraId="74A06E09" w14:textId="77777777" w:rsidR="00EB60B4" w:rsidRPr="00EB60B4" w:rsidRDefault="00EB60B4" w:rsidP="00EB60B4">
            <w:pPr>
              <w:spacing w:line="276" w:lineRule="auto"/>
              <w:rPr>
                <w:rFonts w:ascii="Times New Roman" w:hAnsi="Times New Roman" w:cs="Times New Roman"/>
                <w:b/>
                <w:bCs/>
                <w:color w:val="000000"/>
                <w:lang w:val="en-GB"/>
              </w:rPr>
            </w:pPr>
            <w:r w:rsidRPr="00EB60B4">
              <w:rPr>
                <w:rFonts w:ascii="Times New Roman" w:eastAsia="Calibri" w:hAnsi="Times New Roman" w:cs="Times New Roman"/>
                <w:lang w:val="en-GB"/>
              </w:rPr>
              <w:t>1=never, 2=rarely, 3= sometimes, 4=often, 5=always</w:t>
            </w:r>
          </w:p>
        </w:tc>
      </w:tr>
      <w:tr w:rsidR="00EB60B4" w:rsidRPr="00EB60B4" w14:paraId="687405FE" w14:textId="77777777" w:rsidTr="00F35B58">
        <w:trPr>
          <w:trHeight w:val="293"/>
        </w:trPr>
        <w:tc>
          <w:tcPr>
            <w:tcW w:w="2610" w:type="dxa"/>
          </w:tcPr>
          <w:p w14:paraId="25C04665" w14:textId="77777777" w:rsidR="00EB60B4" w:rsidRPr="00EB60B4" w:rsidRDefault="00EB60B4" w:rsidP="00EB60B4">
            <w:pPr>
              <w:spacing w:line="276" w:lineRule="auto"/>
              <w:rPr>
                <w:rFonts w:ascii="Times New Roman" w:hAnsi="Times New Roman" w:cs="Times New Roman"/>
                <w:b/>
                <w:bCs/>
                <w:color w:val="000000"/>
                <w:lang w:val="en-GB"/>
              </w:rPr>
            </w:pPr>
            <w:proofErr w:type="spellStart"/>
            <w:r w:rsidRPr="00EB60B4">
              <w:rPr>
                <w:rFonts w:ascii="Times New Roman" w:hAnsi="Times New Roman" w:cs="Times New Roman"/>
                <w:b/>
                <w:bCs/>
                <w:color w:val="000000"/>
                <w:lang w:val="en-GB"/>
              </w:rPr>
              <w:t>Costing_scale</w:t>
            </w:r>
            <w:proofErr w:type="spellEnd"/>
          </w:p>
        </w:tc>
        <w:tc>
          <w:tcPr>
            <w:tcW w:w="3780" w:type="dxa"/>
          </w:tcPr>
          <w:p w14:paraId="5C59454A" w14:textId="77777777" w:rsidR="00EB60B4" w:rsidRPr="00EB60B4" w:rsidRDefault="00EB60B4" w:rsidP="00EB60B4">
            <w:pPr>
              <w:spacing w:line="276" w:lineRule="auto"/>
              <w:rPr>
                <w:rFonts w:ascii="Times New Roman" w:hAnsi="Times New Roman" w:cs="Times New Roman"/>
                <w:b/>
                <w:bCs/>
                <w:color w:val="000000"/>
                <w:lang w:val="en-GB"/>
              </w:rPr>
            </w:pPr>
            <w:r w:rsidRPr="00EB60B4">
              <w:rPr>
                <w:rFonts w:ascii="Times New Roman" w:hAnsi="Times New Roman" w:cs="Times New Roman"/>
                <w:bCs/>
                <w:color w:val="000000"/>
                <w:lang w:val="en-GB"/>
              </w:rPr>
              <w:t>Calculate production costs and profit for the main product</w:t>
            </w:r>
          </w:p>
        </w:tc>
        <w:tc>
          <w:tcPr>
            <w:tcW w:w="2970" w:type="dxa"/>
          </w:tcPr>
          <w:p w14:paraId="67C4155A" w14:textId="77777777" w:rsidR="00EB60B4" w:rsidRPr="00EB60B4" w:rsidRDefault="00EB60B4" w:rsidP="00EB60B4">
            <w:pPr>
              <w:spacing w:line="276" w:lineRule="auto"/>
              <w:rPr>
                <w:rFonts w:ascii="Times New Roman" w:hAnsi="Times New Roman" w:cs="Times New Roman"/>
                <w:b/>
                <w:bCs/>
                <w:color w:val="000000"/>
                <w:lang w:val="en-GB"/>
              </w:rPr>
            </w:pPr>
            <w:r w:rsidRPr="00EB60B4">
              <w:rPr>
                <w:rFonts w:ascii="Times New Roman" w:hAnsi="Times New Roman" w:cs="Times New Roman"/>
                <w:color w:val="000000"/>
                <w:lang w:val="en-GB"/>
              </w:rPr>
              <w:t>Ordinal-</w:t>
            </w:r>
            <w:r w:rsidRPr="00EB60B4">
              <w:rPr>
                <w:rFonts w:ascii="Times New Roman" w:eastAsia="Calibri" w:hAnsi="Times New Roman" w:cs="Times New Roman"/>
                <w:lang w:val="en-GB"/>
              </w:rPr>
              <w:t>1=never, 2=rarely, 3= sometimes, 4=often, 5=always</w:t>
            </w:r>
          </w:p>
        </w:tc>
      </w:tr>
      <w:tr w:rsidR="00EB60B4" w:rsidRPr="00EB60B4" w14:paraId="1C7BE2D7" w14:textId="77777777" w:rsidTr="00F35B58">
        <w:trPr>
          <w:trHeight w:val="293"/>
        </w:trPr>
        <w:tc>
          <w:tcPr>
            <w:tcW w:w="2610" w:type="dxa"/>
          </w:tcPr>
          <w:p w14:paraId="4616DB7B" w14:textId="77777777" w:rsidR="00EB60B4" w:rsidRPr="00EB60B4" w:rsidRDefault="00EB60B4" w:rsidP="00EB60B4">
            <w:pPr>
              <w:spacing w:line="276" w:lineRule="auto"/>
              <w:rPr>
                <w:rFonts w:ascii="Times New Roman" w:hAnsi="Times New Roman" w:cs="Times New Roman"/>
                <w:b/>
                <w:bCs/>
                <w:color w:val="000000"/>
                <w:lang w:val="en-GB"/>
              </w:rPr>
            </w:pPr>
            <w:r w:rsidRPr="00EB60B4">
              <w:rPr>
                <w:rFonts w:ascii="Times New Roman" w:hAnsi="Times New Roman" w:cs="Times New Roman"/>
                <w:b/>
                <w:bCs/>
                <w:color w:val="000000"/>
                <w:lang w:val="en-GB"/>
              </w:rPr>
              <w:t>Explanatory variables</w:t>
            </w:r>
          </w:p>
        </w:tc>
        <w:tc>
          <w:tcPr>
            <w:tcW w:w="3780" w:type="dxa"/>
          </w:tcPr>
          <w:p w14:paraId="75EEE156" w14:textId="77777777" w:rsidR="00EB60B4" w:rsidRPr="00EB60B4" w:rsidRDefault="00EB60B4" w:rsidP="00EB60B4">
            <w:pPr>
              <w:spacing w:line="276" w:lineRule="auto"/>
              <w:rPr>
                <w:rFonts w:ascii="Times New Roman" w:hAnsi="Times New Roman" w:cs="Times New Roman"/>
                <w:bCs/>
                <w:color w:val="000000"/>
                <w:lang w:val="en-GB"/>
              </w:rPr>
            </w:pPr>
          </w:p>
        </w:tc>
        <w:tc>
          <w:tcPr>
            <w:tcW w:w="2970" w:type="dxa"/>
          </w:tcPr>
          <w:p w14:paraId="68479068" w14:textId="77777777" w:rsidR="00EB60B4" w:rsidRPr="00EB60B4" w:rsidRDefault="00EB60B4" w:rsidP="00EB60B4">
            <w:pPr>
              <w:spacing w:line="276" w:lineRule="auto"/>
              <w:rPr>
                <w:rFonts w:ascii="Times New Roman" w:hAnsi="Times New Roman" w:cs="Times New Roman"/>
                <w:color w:val="000000"/>
                <w:lang w:val="en-GB"/>
              </w:rPr>
            </w:pPr>
          </w:p>
        </w:tc>
      </w:tr>
      <w:tr w:rsidR="00EB60B4" w:rsidRPr="00EB60B4" w14:paraId="02201FF0" w14:textId="77777777" w:rsidTr="00F35B58">
        <w:trPr>
          <w:trHeight w:val="332"/>
        </w:trPr>
        <w:tc>
          <w:tcPr>
            <w:tcW w:w="2610" w:type="dxa"/>
          </w:tcPr>
          <w:p w14:paraId="57BA0BA6"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Age</w:t>
            </w:r>
          </w:p>
        </w:tc>
        <w:tc>
          <w:tcPr>
            <w:tcW w:w="3780" w:type="dxa"/>
            <w:hideMark/>
          </w:tcPr>
          <w:p w14:paraId="175DCC54"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Age</w:t>
            </w:r>
          </w:p>
        </w:tc>
        <w:tc>
          <w:tcPr>
            <w:tcW w:w="2970" w:type="dxa"/>
          </w:tcPr>
          <w:p w14:paraId="04747103"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Scale</w:t>
            </w:r>
          </w:p>
        </w:tc>
      </w:tr>
      <w:tr w:rsidR="00EB60B4" w:rsidRPr="00EB60B4" w14:paraId="7E60B12F" w14:textId="77777777" w:rsidTr="00F35B58">
        <w:trPr>
          <w:trHeight w:val="356"/>
        </w:trPr>
        <w:tc>
          <w:tcPr>
            <w:tcW w:w="2610" w:type="dxa"/>
          </w:tcPr>
          <w:p w14:paraId="2575F53C"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HH_education</w:t>
            </w:r>
            <w:proofErr w:type="spellEnd"/>
          </w:p>
        </w:tc>
        <w:tc>
          <w:tcPr>
            <w:tcW w:w="3780" w:type="dxa"/>
            <w:hideMark/>
          </w:tcPr>
          <w:p w14:paraId="394DB75F"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Household head education</w:t>
            </w:r>
          </w:p>
        </w:tc>
        <w:tc>
          <w:tcPr>
            <w:tcW w:w="2970" w:type="dxa"/>
          </w:tcPr>
          <w:p w14:paraId="7580874F"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Ordinal</w:t>
            </w:r>
          </w:p>
          <w:p w14:paraId="5ED3CCB2"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1=No education, 2= Basic, 3=Agricultural high school,4=other high school, 5=university</w:t>
            </w:r>
          </w:p>
        </w:tc>
      </w:tr>
      <w:tr w:rsidR="00EB60B4" w:rsidRPr="00EB60B4" w14:paraId="46EC991E" w14:textId="77777777" w:rsidTr="00F35B58">
        <w:trPr>
          <w:trHeight w:val="356"/>
        </w:trPr>
        <w:tc>
          <w:tcPr>
            <w:tcW w:w="2610" w:type="dxa"/>
          </w:tcPr>
          <w:p w14:paraId="5E7A6730"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Vineyards_area</w:t>
            </w:r>
            <w:proofErr w:type="spellEnd"/>
          </w:p>
        </w:tc>
        <w:tc>
          <w:tcPr>
            <w:tcW w:w="3780" w:type="dxa"/>
            <w:hideMark/>
          </w:tcPr>
          <w:p w14:paraId="18D573E2"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Area planted with grapes in ha</w:t>
            </w:r>
          </w:p>
        </w:tc>
        <w:tc>
          <w:tcPr>
            <w:tcW w:w="2970" w:type="dxa"/>
          </w:tcPr>
          <w:p w14:paraId="4FCB579A"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 xml:space="preserve">Scale </w:t>
            </w:r>
          </w:p>
        </w:tc>
      </w:tr>
      <w:tr w:rsidR="00EB60B4" w:rsidRPr="00EB60B4" w14:paraId="2D13201C" w14:textId="77777777" w:rsidTr="00F35B58">
        <w:trPr>
          <w:trHeight w:val="356"/>
        </w:trPr>
        <w:tc>
          <w:tcPr>
            <w:tcW w:w="2610" w:type="dxa"/>
          </w:tcPr>
          <w:p w14:paraId="7DBAFC7F"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Share_income_farming</w:t>
            </w:r>
            <w:proofErr w:type="spellEnd"/>
          </w:p>
        </w:tc>
        <w:tc>
          <w:tcPr>
            <w:tcW w:w="3780" w:type="dxa"/>
            <w:hideMark/>
          </w:tcPr>
          <w:p w14:paraId="097583DC"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Share of household income that come from farming- %</w:t>
            </w:r>
          </w:p>
        </w:tc>
        <w:tc>
          <w:tcPr>
            <w:tcW w:w="2970" w:type="dxa"/>
          </w:tcPr>
          <w:p w14:paraId="7C503BCD"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Scale</w:t>
            </w:r>
          </w:p>
        </w:tc>
      </w:tr>
      <w:tr w:rsidR="00EB60B4" w:rsidRPr="00EB60B4" w14:paraId="0F31F614" w14:textId="77777777" w:rsidTr="00F35B58">
        <w:trPr>
          <w:trHeight w:val="554"/>
        </w:trPr>
        <w:tc>
          <w:tcPr>
            <w:tcW w:w="2610" w:type="dxa"/>
          </w:tcPr>
          <w:p w14:paraId="51C396BB"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Share_selfconsumption</w:t>
            </w:r>
            <w:proofErr w:type="spellEnd"/>
          </w:p>
        </w:tc>
        <w:tc>
          <w:tcPr>
            <w:tcW w:w="3780" w:type="dxa"/>
            <w:hideMark/>
          </w:tcPr>
          <w:p w14:paraId="577A657D"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Distribution channels/destination as a share of total production (grape), self-consumption</w:t>
            </w:r>
          </w:p>
        </w:tc>
        <w:tc>
          <w:tcPr>
            <w:tcW w:w="2970" w:type="dxa"/>
          </w:tcPr>
          <w:p w14:paraId="0D945949"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Scale</w:t>
            </w:r>
          </w:p>
        </w:tc>
      </w:tr>
      <w:tr w:rsidR="00EB60B4" w:rsidRPr="00EB60B4" w14:paraId="282E607E" w14:textId="77777777" w:rsidTr="00F35B58">
        <w:trPr>
          <w:trHeight w:val="356"/>
        </w:trPr>
        <w:tc>
          <w:tcPr>
            <w:tcW w:w="2610" w:type="dxa"/>
          </w:tcPr>
          <w:p w14:paraId="0ABA055B"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Area_wineyard_share</w:t>
            </w:r>
            <w:proofErr w:type="spellEnd"/>
          </w:p>
        </w:tc>
        <w:tc>
          <w:tcPr>
            <w:tcW w:w="3780" w:type="dxa"/>
            <w:hideMark/>
          </w:tcPr>
          <w:p w14:paraId="1D6C2E5B"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Specialization (share of vineyard employee to total farm size)</w:t>
            </w:r>
          </w:p>
        </w:tc>
        <w:tc>
          <w:tcPr>
            <w:tcW w:w="2970" w:type="dxa"/>
          </w:tcPr>
          <w:p w14:paraId="5A3B18AC"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 xml:space="preserve">Scale </w:t>
            </w:r>
          </w:p>
        </w:tc>
      </w:tr>
      <w:tr w:rsidR="00EB60B4" w:rsidRPr="00EB60B4" w14:paraId="620F82AE" w14:textId="77777777" w:rsidTr="00F35B58">
        <w:trPr>
          <w:trHeight w:val="356"/>
        </w:trPr>
        <w:tc>
          <w:tcPr>
            <w:tcW w:w="2610" w:type="dxa"/>
          </w:tcPr>
          <w:p w14:paraId="16388BBB"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Hired_labor</w:t>
            </w:r>
            <w:proofErr w:type="spellEnd"/>
          </w:p>
        </w:tc>
        <w:tc>
          <w:tcPr>
            <w:tcW w:w="3780" w:type="dxa"/>
            <w:hideMark/>
          </w:tcPr>
          <w:p w14:paraId="12554321"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Number of working days for external (paid/hired) to total</w:t>
            </w:r>
          </w:p>
        </w:tc>
        <w:tc>
          <w:tcPr>
            <w:tcW w:w="2970" w:type="dxa"/>
          </w:tcPr>
          <w:p w14:paraId="6BFCF352"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Scale</w:t>
            </w:r>
          </w:p>
        </w:tc>
      </w:tr>
      <w:tr w:rsidR="00EB60B4" w:rsidRPr="00EB60B4" w14:paraId="1A97CD07" w14:textId="77777777" w:rsidTr="00F35B58">
        <w:trPr>
          <w:trHeight w:val="356"/>
        </w:trPr>
        <w:tc>
          <w:tcPr>
            <w:tcW w:w="2610" w:type="dxa"/>
          </w:tcPr>
          <w:p w14:paraId="08152AA6" w14:textId="77777777" w:rsidR="00EB60B4" w:rsidRPr="00EB60B4" w:rsidRDefault="00EB60B4" w:rsidP="00EB60B4">
            <w:pPr>
              <w:spacing w:line="276" w:lineRule="auto"/>
              <w:rPr>
                <w:rFonts w:ascii="Times New Roman" w:hAnsi="Times New Roman" w:cs="Times New Roman"/>
                <w:bCs/>
                <w:color w:val="000000"/>
                <w:lang w:val="en-GB"/>
              </w:rPr>
            </w:pPr>
            <w:proofErr w:type="spellStart"/>
            <w:r w:rsidRPr="00EB60B4">
              <w:rPr>
                <w:rFonts w:ascii="Times New Roman" w:hAnsi="Times New Roman" w:cs="Times New Roman"/>
                <w:bCs/>
                <w:color w:val="000000"/>
                <w:lang w:val="en-GB"/>
              </w:rPr>
              <w:t>Farm_contract_dummy</w:t>
            </w:r>
            <w:proofErr w:type="spellEnd"/>
          </w:p>
        </w:tc>
        <w:tc>
          <w:tcPr>
            <w:tcW w:w="3780" w:type="dxa"/>
          </w:tcPr>
          <w:p w14:paraId="2F11E930" w14:textId="77777777" w:rsidR="00EB60B4" w:rsidRPr="00EB60B4" w:rsidRDefault="00EB60B4" w:rsidP="00EB60B4">
            <w:pPr>
              <w:spacing w:line="276" w:lineRule="auto"/>
              <w:rPr>
                <w:rFonts w:ascii="Times New Roman" w:hAnsi="Times New Roman" w:cs="Times New Roman"/>
                <w:bCs/>
                <w:color w:val="000000"/>
                <w:lang w:val="en-GB"/>
              </w:rPr>
            </w:pPr>
            <w:r w:rsidRPr="00EB60B4">
              <w:rPr>
                <w:rFonts w:ascii="Times New Roman" w:hAnsi="Times New Roman" w:cs="Times New Roman"/>
                <w:bCs/>
                <w:color w:val="000000"/>
                <w:lang w:val="en-GB"/>
              </w:rPr>
              <w:t>Farm contracting</w:t>
            </w:r>
          </w:p>
        </w:tc>
        <w:tc>
          <w:tcPr>
            <w:tcW w:w="2970" w:type="dxa"/>
          </w:tcPr>
          <w:p w14:paraId="5D2BA9D5"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Nominal</w:t>
            </w:r>
          </w:p>
          <w:p w14:paraId="6F1F3096"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1= Yes, 2=No</w:t>
            </w:r>
          </w:p>
        </w:tc>
      </w:tr>
    </w:tbl>
    <w:p w14:paraId="57452799" w14:textId="77777777" w:rsidR="007E1A5B" w:rsidRDefault="007E1A5B" w:rsidP="00EB60B4">
      <w:pPr>
        <w:spacing w:before="120" w:after="120" w:line="276" w:lineRule="auto"/>
        <w:jc w:val="both"/>
        <w:rPr>
          <w:rFonts w:ascii="Times New Roman" w:eastAsia="Calibri" w:hAnsi="Times New Roman" w:cs="Times New Roman"/>
          <w:i/>
          <w:sz w:val="20"/>
          <w:szCs w:val="20"/>
          <w:lang w:val="en-GB"/>
        </w:rPr>
      </w:pPr>
    </w:p>
    <w:p w14:paraId="27703AAC" w14:textId="6C24B51E" w:rsidR="00EB60B4" w:rsidRPr="00626499" w:rsidRDefault="00EB60B4" w:rsidP="00EB60B4">
      <w:pPr>
        <w:spacing w:before="120" w:after="120" w:line="276" w:lineRule="auto"/>
        <w:jc w:val="both"/>
        <w:rPr>
          <w:rFonts w:ascii="Times New Roman" w:eastAsia="Calibri" w:hAnsi="Times New Roman" w:cs="Times New Roman"/>
          <w:b/>
          <w:bCs/>
          <w:sz w:val="24"/>
          <w:szCs w:val="24"/>
          <w:lang w:val="en-GB"/>
        </w:rPr>
      </w:pPr>
      <w:r w:rsidRPr="00626499">
        <w:rPr>
          <w:rFonts w:ascii="Times New Roman" w:eastAsia="Calibri" w:hAnsi="Times New Roman" w:cs="Times New Roman"/>
          <w:b/>
          <w:bCs/>
          <w:sz w:val="24"/>
          <w:szCs w:val="24"/>
          <w:lang w:val="en-GB"/>
        </w:rPr>
        <w:t xml:space="preserve">Data analysis </w:t>
      </w:r>
    </w:p>
    <w:p w14:paraId="1787B21A" w14:textId="1DA121B7" w:rsidR="00EB60B4" w:rsidRPr="00EB60B4" w:rsidRDefault="00EB60B4" w:rsidP="00EB60B4">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 xml:space="preserve">Descriptive statistics and non-parametric correlation analysis were used to </w:t>
      </w:r>
      <w:r w:rsidR="00870A6A" w:rsidRPr="00EB60B4">
        <w:rPr>
          <w:rFonts w:ascii="Times New Roman" w:eastAsia="Calibri" w:hAnsi="Times New Roman" w:cs="Times New Roman"/>
          <w:sz w:val="24"/>
          <w:szCs w:val="24"/>
          <w:lang w:val="en-GB"/>
        </w:rPr>
        <w:t>analyse</w:t>
      </w:r>
      <w:r w:rsidRPr="00EB60B4">
        <w:rPr>
          <w:rFonts w:ascii="Times New Roman" w:eastAsia="Calibri" w:hAnsi="Times New Roman" w:cs="Times New Roman"/>
          <w:sz w:val="24"/>
          <w:szCs w:val="24"/>
          <w:lang w:val="en-GB"/>
        </w:rPr>
        <w:t xml:space="preserve"> the data. Data being not subject of normal distribution were treated using non-parametric methods. Spearman rang correlation was used for an analysis of the relationship between scale and ordinal data, also considering that the data do not meet the assumption for normal distribution. Spearman coefficient was used. In addition, Pearson correlation coefficient was calculated, covering values of each of the 2 variables. By using ranks, the quantification coefficient provided strictly monotonic relationships between 2 variables. The ranking of the data was used to convert a nonlinear strictly monotonic relationship to a linear relationship. Moreover, this property makes a Spearman coefficient relatively robust against outliers (Schober at al. 2018). The Pearson Chi square correlation coefficient was used (it is suggested to be used for nominal data), in order to observe for potential relationships between the variables having or not a contract and keeping records about expenses and income. The Chi-square was used to explore the nature of research data, as  measured at the nominal level. All inferential statistics, the results </w:t>
      </w:r>
      <w:proofErr w:type="gramStart"/>
      <w:r w:rsidRPr="00EB60B4">
        <w:rPr>
          <w:rFonts w:ascii="Times New Roman" w:eastAsia="Calibri" w:hAnsi="Times New Roman" w:cs="Times New Roman"/>
          <w:sz w:val="24"/>
          <w:szCs w:val="24"/>
          <w:lang w:val="en-GB"/>
        </w:rPr>
        <w:t>suffers</w:t>
      </w:r>
      <w:proofErr w:type="gramEnd"/>
      <w:r w:rsidRPr="00EB60B4">
        <w:rPr>
          <w:rFonts w:ascii="Times New Roman" w:eastAsia="Calibri" w:hAnsi="Times New Roman" w:cs="Times New Roman"/>
          <w:sz w:val="24"/>
          <w:szCs w:val="24"/>
          <w:lang w:val="en-GB"/>
        </w:rPr>
        <w:t xml:space="preserve"> </w:t>
      </w:r>
      <w:r w:rsidR="00870A6A" w:rsidRPr="00EB60B4">
        <w:rPr>
          <w:rFonts w:ascii="Times New Roman" w:eastAsia="Calibri" w:hAnsi="Times New Roman" w:cs="Times New Roman"/>
          <w:sz w:val="24"/>
          <w:szCs w:val="24"/>
          <w:lang w:val="en-GB"/>
        </w:rPr>
        <w:t>reliability</w:t>
      </w:r>
      <w:r w:rsidRPr="00EB60B4">
        <w:rPr>
          <w:rFonts w:ascii="Times New Roman" w:eastAsia="Calibri" w:hAnsi="Times New Roman" w:cs="Times New Roman"/>
          <w:sz w:val="24"/>
          <w:szCs w:val="24"/>
          <w:lang w:val="en-GB"/>
        </w:rPr>
        <w:t xml:space="preserve"> issues, especially when the data are collected from randomly selected subjects, and when sample sizes are sufficiently large that they produce appropriate statistical power </w:t>
      </w:r>
      <w:sdt>
        <w:sdtPr>
          <w:rPr>
            <w:rFonts w:ascii="Times New Roman" w:eastAsia="Calibri" w:hAnsi="Times New Roman" w:cs="Times New Roman"/>
            <w:sz w:val="24"/>
            <w:szCs w:val="24"/>
            <w:lang w:val="en-GB"/>
          </w:rPr>
          <w:id w:val="437567196"/>
          <w:citation/>
        </w:sdtPr>
        <w:sdtContent>
          <w:r w:rsidRPr="00EB60B4">
            <w:rPr>
              <w:rFonts w:ascii="Times New Roman" w:eastAsia="Calibri" w:hAnsi="Times New Roman" w:cs="Times New Roman"/>
              <w:sz w:val="24"/>
              <w:szCs w:val="24"/>
              <w:lang w:val="en-GB"/>
            </w:rPr>
            <w:fldChar w:fldCharType="begin"/>
          </w:r>
          <w:r w:rsidRPr="00EB60B4">
            <w:rPr>
              <w:rFonts w:ascii="Times New Roman" w:eastAsia="Calibri" w:hAnsi="Times New Roman" w:cs="Times New Roman"/>
              <w:sz w:val="24"/>
              <w:szCs w:val="24"/>
              <w:lang w:val="en-GB"/>
            </w:rPr>
            <w:instrText xml:space="preserve">CITATION McH13 \l 1033 </w:instrText>
          </w:r>
          <w:r w:rsidRPr="00EB60B4">
            <w:rPr>
              <w:rFonts w:ascii="Times New Roman" w:eastAsia="Calibri" w:hAnsi="Times New Roman" w:cs="Times New Roman"/>
              <w:sz w:val="24"/>
              <w:szCs w:val="24"/>
              <w:lang w:val="en-GB"/>
            </w:rPr>
            <w:fldChar w:fldCharType="separate"/>
          </w:r>
          <w:r w:rsidRPr="00EB60B4">
            <w:rPr>
              <w:rFonts w:ascii="Times New Roman" w:eastAsia="Calibri" w:hAnsi="Times New Roman" w:cs="Times New Roman"/>
              <w:sz w:val="24"/>
              <w:szCs w:val="24"/>
              <w:lang w:val="en-GB"/>
            </w:rPr>
            <w:t>(McHugh, 2013)</w:t>
          </w:r>
          <w:r w:rsidRPr="00EB60B4">
            <w:rPr>
              <w:rFonts w:ascii="Times New Roman" w:eastAsia="Calibri" w:hAnsi="Times New Roman" w:cs="Times New Roman"/>
              <w:sz w:val="24"/>
              <w:szCs w:val="24"/>
              <w:lang w:val="en-GB"/>
            </w:rPr>
            <w:fldChar w:fldCharType="end"/>
          </w:r>
        </w:sdtContent>
      </w:sdt>
      <w:r w:rsidRPr="00EB60B4">
        <w:rPr>
          <w:rFonts w:ascii="Times New Roman" w:eastAsia="Calibri" w:hAnsi="Times New Roman" w:cs="Times New Roman"/>
          <w:sz w:val="24"/>
          <w:szCs w:val="24"/>
          <w:lang w:val="en-GB"/>
        </w:rPr>
        <w:t xml:space="preserve">.  </w:t>
      </w:r>
    </w:p>
    <w:p w14:paraId="4BC84C36" w14:textId="77777777" w:rsidR="00EB60B4" w:rsidRPr="00EB60B4" w:rsidRDefault="00EB60B4" w:rsidP="00EB60B4">
      <w:pPr>
        <w:rPr>
          <w:rFonts w:ascii="Times New Roman" w:eastAsia="Calibri" w:hAnsi="Times New Roman" w:cs="Times New Roman"/>
          <w:lang w:val="en-GB"/>
        </w:rPr>
      </w:pPr>
    </w:p>
    <w:p w14:paraId="5E20995E" w14:textId="77777777" w:rsidR="00EB60B4" w:rsidRPr="00EB60B4" w:rsidRDefault="00EB60B4" w:rsidP="00EB60B4">
      <w:pPr>
        <w:numPr>
          <w:ilvl w:val="0"/>
          <w:numId w:val="5"/>
        </w:numPr>
        <w:contextualSpacing/>
        <w:jc w:val="both"/>
        <w:rPr>
          <w:rFonts w:ascii="Times New Roman" w:eastAsia="Calibri" w:hAnsi="Times New Roman" w:cs="Times New Roman"/>
          <w:b/>
          <w:sz w:val="28"/>
          <w:szCs w:val="28"/>
          <w:lang w:val="en-GB"/>
        </w:rPr>
      </w:pPr>
      <w:r w:rsidRPr="00EB60B4">
        <w:rPr>
          <w:rFonts w:ascii="Times New Roman" w:eastAsia="Calibri" w:hAnsi="Times New Roman" w:cs="Times New Roman"/>
          <w:b/>
          <w:sz w:val="28"/>
          <w:szCs w:val="28"/>
          <w:lang w:val="en-GB"/>
        </w:rPr>
        <w:t xml:space="preserve">Results of the study </w:t>
      </w:r>
    </w:p>
    <w:p w14:paraId="23A89E9D" w14:textId="77777777" w:rsidR="00EB60B4" w:rsidRPr="00EB60B4" w:rsidRDefault="00EB60B4" w:rsidP="00EB60B4">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Based on the survey analysis results, although the vast majority of farmers did not keep records or rarely kept records on expenditures or income (60% stated "never or rarely") and did not calculate costs and profits for the main product (52,2% stated “never or rarely”). On the other hand, 38.8% of the farmers stated that they kept notes often or always, and 35,2% calculated costs and profits for the main product.</w:t>
      </w:r>
    </w:p>
    <w:p w14:paraId="16D9C35B" w14:textId="033354A2" w:rsidR="00EB60B4" w:rsidRPr="00EB60B4" w:rsidRDefault="00EB60B4" w:rsidP="00EB60B4">
      <w:pPr>
        <w:keepNext/>
        <w:spacing w:after="200" w:line="240" w:lineRule="auto"/>
        <w:rPr>
          <w:rFonts w:ascii="Times New Roman" w:eastAsia="Calibri" w:hAnsi="Times New Roman" w:cs="Times New Roman"/>
          <w:iCs/>
          <w:sz w:val="24"/>
          <w:szCs w:val="24"/>
          <w:lang w:val="en-GB"/>
        </w:rPr>
      </w:pPr>
      <w:r w:rsidRPr="00EB60B4">
        <w:rPr>
          <w:rFonts w:ascii="Times New Roman" w:eastAsia="Calibri" w:hAnsi="Times New Roman" w:cs="Times New Roman"/>
          <w:iCs/>
          <w:sz w:val="24"/>
          <w:szCs w:val="24"/>
          <w:lang w:val="en-GB"/>
        </w:rPr>
        <w:t>Table 4</w:t>
      </w:r>
      <w:r w:rsidRPr="00C603A7">
        <w:rPr>
          <w:rFonts w:ascii="Times New Roman" w:eastAsia="Calibri" w:hAnsi="Times New Roman" w:cs="Times New Roman"/>
          <w:iCs/>
          <w:sz w:val="24"/>
          <w:szCs w:val="24"/>
          <w:lang w:val="en-GB"/>
        </w:rPr>
        <w:t>:</w:t>
      </w:r>
      <w:r w:rsidRPr="00EB60B4">
        <w:rPr>
          <w:rFonts w:ascii="Times New Roman" w:eastAsia="Calibri" w:hAnsi="Times New Roman" w:cs="Times New Roman"/>
          <w:iCs/>
          <w:sz w:val="24"/>
          <w:szCs w:val="24"/>
          <w:lang w:val="en-GB"/>
        </w:rPr>
        <w:t xml:space="preserve"> Frequency table for variables</w:t>
      </w:r>
    </w:p>
    <w:tbl>
      <w:tblPr>
        <w:tblStyle w:val="ListTable21"/>
        <w:tblW w:w="9357" w:type="dxa"/>
        <w:tblLook w:val="0600" w:firstRow="0" w:lastRow="0" w:firstColumn="0" w:lastColumn="0" w:noHBand="1" w:noVBand="1"/>
      </w:tblPr>
      <w:tblGrid>
        <w:gridCol w:w="1898"/>
        <w:gridCol w:w="3294"/>
        <w:gridCol w:w="4165"/>
      </w:tblGrid>
      <w:tr w:rsidR="00EB60B4" w:rsidRPr="00EB60B4" w14:paraId="7B9C413A" w14:textId="77777777" w:rsidTr="00F35B58">
        <w:trPr>
          <w:trHeight w:val="253"/>
        </w:trPr>
        <w:tc>
          <w:tcPr>
            <w:tcW w:w="0" w:type="auto"/>
            <w:hideMark/>
          </w:tcPr>
          <w:p w14:paraId="3B283720" w14:textId="77777777" w:rsidR="00EB60B4" w:rsidRPr="00EB60B4" w:rsidRDefault="00EB60B4" w:rsidP="00EB60B4">
            <w:pPr>
              <w:rPr>
                <w:rFonts w:ascii="Times New Roman" w:hAnsi="Times New Roman" w:cs="Times New Roman"/>
                <w:b/>
                <w:color w:val="000000"/>
                <w:lang w:val="en-GB"/>
              </w:rPr>
            </w:pPr>
            <w:r w:rsidRPr="00EB60B4">
              <w:rPr>
                <w:rFonts w:ascii="Times New Roman" w:hAnsi="Times New Roman" w:cs="Times New Roman"/>
                <w:b/>
                <w:color w:val="000000"/>
                <w:lang w:val="en-GB"/>
              </w:rPr>
              <w:t>Alternatives</w:t>
            </w:r>
          </w:p>
        </w:tc>
        <w:tc>
          <w:tcPr>
            <w:tcW w:w="3294" w:type="dxa"/>
            <w:hideMark/>
          </w:tcPr>
          <w:p w14:paraId="10D7A1E4" w14:textId="77777777" w:rsidR="00EB60B4" w:rsidRPr="00EB60B4" w:rsidRDefault="00EB60B4" w:rsidP="00EB60B4">
            <w:pPr>
              <w:rPr>
                <w:rFonts w:ascii="Times New Roman" w:hAnsi="Times New Roman" w:cs="Times New Roman"/>
                <w:b/>
                <w:color w:val="000000"/>
                <w:lang w:val="en-GB"/>
              </w:rPr>
            </w:pPr>
            <w:r w:rsidRPr="00EB60B4">
              <w:rPr>
                <w:rFonts w:ascii="Times New Roman" w:hAnsi="Times New Roman" w:cs="Times New Roman"/>
                <w:b/>
                <w:color w:val="000000"/>
                <w:lang w:val="en-GB"/>
              </w:rPr>
              <w:t>Keep notes for expenses and revenues</w:t>
            </w:r>
          </w:p>
        </w:tc>
        <w:tc>
          <w:tcPr>
            <w:tcW w:w="4165" w:type="dxa"/>
          </w:tcPr>
          <w:p w14:paraId="3B6A6472" w14:textId="77777777" w:rsidR="00EB60B4" w:rsidRPr="00EB60B4" w:rsidRDefault="00EB60B4" w:rsidP="00EB60B4">
            <w:pPr>
              <w:rPr>
                <w:rFonts w:ascii="Times New Roman" w:hAnsi="Times New Roman" w:cs="Times New Roman"/>
                <w:b/>
                <w:color w:val="000000"/>
                <w:lang w:val="en-GB"/>
              </w:rPr>
            </w:pPr>
            <w:r w:rsidRPr="00EB60B4">
              <w:rPr>
                <w:rFonts w:ascii="Times New Roman" w:hAnsi="Times New Roman" w:cs="Times New Roman"/>
                <w:b/>
                <w:color w:val="000000"/>
                <w:lang w:val="en-GB"/>
              </w:rPr>
              <w:t>Calculate production costs and profit for the main product?</w:t>
            </w:r>
          </w:p>
        </w:tc>
      </w:tr>
      <w:tr w:rsidR="00EB60B4" w:rsidRPr="00EB60B4" w14:paraId="45E610B1" w14:textId="77777777" w:rsidTr="00F35B58">
        <w:trPr>
          <w:trHeight w:val="105"/>
        </w:trPr>
        <w:tc>
          <w:tcPr>
            <w:tcW w:w="0" w:type="auto"/>
            <w:hideMark/>
          </w:tcPr>
          <w:p w14:paraId="347F49C7" w14:textId="77777777" w:rsidR="00EB60B4" w:rsidRPr="00EB60B4" w:rsidRDefault="00EB60B4" w:rsidP="00EB60B4">
            <w:pPr>
              <w:rPr>
                <w:rFonts w:ascii="Times New Roman" w:hAnsi="Times New Roman" w:cs="Times New Roman"/>
                <w:color w:val="000000"/>
                <w:lang w:val="en-GB"/>
              </w:rPr>
            </w:pPr>
            <w:r w:rsidRPr="00EB60B4">
              <w:rPr>
                <w:rFonts w:ascii="Times New Roman" w:hAnsi="Times New Roman" w:cs="Times New Roman"/>
                <w:color w:val="000000"/>
                <w:lang w:val="en-GB"/>
              </w:rPr>
              <w:t>Never</w:t>
            </w:r>
          </w:p>
        </w:tc>
        <w:tc>
          <w:tcPr>
            <w:tcW w:w="3294" w:type="dxa"/>
            <w:hideMark/>
          </w:tcPr>
          <w:p w14:paraId="123E2CF0"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35,1</w:t>
            </w:r>
          </w:p>
        </w:tc>
        <w:tc>
          <w:tcPr>
            <w:tcW w:w="4165" w:type="dxa"/>
          </w:tcPr>
          <w:p w14:paraId="764EBE43"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41,4</w:t>
            </w:r>
          </w:p>
        </w:tc>
      </w:tr>
      <w:tr w:rsidR="00EB60B4" w:rsidRPr="00EB60B4" w14:paraId="313DBC32" w14:textId="77777777" w:rsidTr="00F35B58">
        <w:trPr>
          <w:trHeight w:val="120"/>
        </w:trPr>
        <w:tc>
          <w:tcPr>
            <w:tcW w:w="0" w:type="auto"/>
            <w:hideMark/>
          </w:tcPr>
          <w:p w14:paraId="261B35FC" w14:textId="77777777" w:rsidR="00EB60B4" w:rsidRPr="00EB60B4" w:rsidRDefault="00EB60B4" w:rsidP="00EB60B4">
            <w:pPr>
              <w:rPr>
                <w:rFonts w:ascii="Times New Roman" w:hAnsi="Times New Roman" w:cs="Times New Roman"/>
                <w:color w:val="000000"/>
                <w:lang w:val="en-GB"/>
              </w:rPr>
            </w:pPr>
            <w:r w:rsidRPr="00EB60B4">
              <w:rPr>
                <w:rFonts w:ascii="Times New Roman" w:hAnsi="Times New Roman" w:cs="Times New Roman"/>
                <w:color w:val="000000"/>
                <w:lang w:val="en-GB"/>
              </w:rPr>
              <w:t>Rarely</w:t>
            </w:r>
          </w:p>
        </w:tc>
        <w:tc>
          <w:tcPr>
            <w:tcW w:w="3294" w:type="dxa"/>
            <w:hideMark/>
          </w:tcPr>
          <w:p w14:paraId="7CF2DCA9"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14,9</w:t>
            </w:r>
          </w:p>
        </w:tc>
        <w:tc>
          <w:tcPr>
            <w:tcW w:w="4165" w:type="dxa"/>
          </w:tcPr>
          <w:p w14:paraId="0C08309D"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10,8</w:t>
            </w:r>
          </w:p>
        </w:tc>
      </w:tr>
      <w:tr w:rsidR="00EB60B4" w:rsidRPr="00EB60B4" w14:paraId="196DC3BC" w14:textId="77777777" w:rsidTr="00F35B58">
        <w:trPr>
          <w:trHeight w:val="114"/>
        </w:trPr>
        <w:tc>
          <w:tcPr>
            <w:tcW w:w="0" w:type="auto"/>
            <w:hideMark/>
          </w:tcPr>
          <w:p w14:paraId="286996BE" w14:textId="77777777" w:rsidR="00EB60B4" w:rsidRPr="00EB60B4" w:rsidRDefault="00EB60B4" w:rsidP="00EB60B4">
            <w:pPr>
              <w:rPr>
                <w:rFonts w:ascii="Times New Roman" w:hAnsi="Times New Roman" w:cs="Times New Roman"/>
                <w:color w:val="000000"/>
                <w:lang w:val="en-GB"/>
              </w:rPr>
            </w:pPr>
            <w:r w:rsidRPr="00EB60B4">
              <w:rPr>
                <w:rFonts w:ascii="Times New Roman" w:hAnsi="Times New Roman" w:cs="Times New Roman"/>
                <w:color w:val="000000"/>
                <w:lang w:val="en-GB"/>
              </w:rPr>
              <w:t>Sometimes</w:t>
            </w:r>
          </w:p>
        </w:tc>
        <w:tc>
          <w:tcPr>
            <w:tcW w:w="3294" w:type="dxa"/>
            <w:hideMark/>
          </w:tcPr>
          <w:p w14:paraId="75C8C2EC"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11,3</w:t>
            </w:r>
          </w:p>
        </w:tc>
        <w:tc>
          <w:tcPr>
            <w:tcW w:w="4165" w:type="dxa"/>
          </w:tcPr>
          <w:p w14:paraId="31EAD803"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12,6</w:t>
            </w:r>
          </w:p>
        </w:tc>
      </w:tr>
      <w:tr w:rsidR="00EB60B4" w:rsidRPr="00EB60B4" w14:paraId="07E0611A" w14:textId="77777777" w:rsidTr="00F35B58">
        <w:trPr>
          <w:trHeight w:val="105"/>
        </w:trPr>
        <w:tc>
          <w:tcPr>
            <w:tcW w:w="0" w:type="auto"/>
            <w:hideMark/>
          </w:tcPr>
          <w:p w14:paraId="22FAB234" w14:textId="77777777" w:rsidR="00EB60B4" w:rsidRPr="00EB60B4" w:rsidRDefault="00EB60B4" w:rsidP="00EB60B4">
            <w:pPr>
              <w:rPr>
                <w:rFonts w:ascii="Times New Roman" w:hAnsi="Times New Roman" w:cs="Times New Roman"/>
                <w:color w:val="000000"/>
                <w:lang w:val="en-GB"/>
              </w:rPr>
            </w:pPr>
            <w:r w:rsidRPr="00EB60B4">
              <w:rPr>
                <w:rFonts w:ascii="Times New Roman" w:hAnsi="Times New Roman" w:cs="Times New Roman"/>
                <w:color w:val="000000"/>
                <w:lang w:val="en-GB"/>
              </w:rPr>
              <w:t>Often</w:t>
            </w:r>
          </w:p>
        </w:tc>
        <w:tc>
          <w:tcPr>
            <w:tcW w:w="3294" w:type="dxa"/>
            <w:hideMark/>
          </w:tcPr>
          <w:p w14:paraId="0693437F"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5,0</w:t>
            </w:r>
          </w:p>
        </w:tc>
        <w:tc>
          <w:tcPr>
            <w:tcW w:w="4165" w:type="dxa"/>
          </w:tcPr>
          <w:p w14:paraId="5A910101"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5,9</w:t>
            </w:r>
          </w:p>
        </w:tc>
      </w:tr>
      <w:tr w:rsidR="00EB60B4" w:rsidRPr="00EB60B4" w14:paraId="4D2C1157" w14:textId="77777777" w:rsidTr="00F35B58">
        <w:trPr>
          <w:trHeight w:val="105"/>
        </w:trPr>
        <w:tc>
          <w:tcPr>
            <w:tcW w:w="0" w:type="auto"/>
            <w:hideMark/>
          </w:tcPr>
          <w:p w14:paraId="45F9DED6" w14:textId="77777777" w:rsidR="00EB60B4" w:rsidRPr="00EB60B4" w:rsidRDefault="00EB60B4" w:rsidP="00EB60B4">
            <w:pPr>
              <w:rPr>
                <w:rFonts w:ascii="Times New Roman" w:hAnsi="Times New Roman" w:cs="Times New Roman"/>
                <w:color w:val="000000"/>
                <w:lang w:val="en-GB"/>
              </w:rPr>
            </w:pPr>
            <w:r w:rsidRPr="00EB60B4">
              <w:rPr>
                <w:rFonts w:ascii="Times New Roman" w:hAnsi="Times New Roman" w:cs="Times New Roman"/>
                <w:color w:val="000000"/>
                <w:lang w:val="en-GB"/>
              </w:rPr>
              <w:t>Always</w:t>
            </w:r>
          </w:p>
        </w:tc>
        <w:tc>
          <w:tcPr>
            <w:tcW w:w="3294" w:type="dxa"/>
            <w:hideMark/>
          </w:tcPr>
          <w:p w14:paraId="1DE6A105"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33,8</w:t>
            </w:r>
          </w:p>
        </w:tc>
        <w:tc>
          <w:tcPr>
            <w:tcW w:w="4165" w:type="dxa"/>
          </w:tcPr>
          <w:p w14:paraId="33BBF829"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29,3</w:t>
            </w:r>
          </w:p>
        </w:tc>
      </w:tr>
      <w:tr w:rsidR="00EB60B4" w:rsidRPr="00EB60B4" w14:paraId="56BBEF9D" w14:textId="77777777" w:rsidTr="00F35B58">
        <w:trPr>
          <w:trHeight w:val="105"/>
        </w:trPr>
        <w:tc>
          <w:tcPr>
            <w:tcW w:w="0" w:type="auto"/>
          </w:tcPr>
          <w:p w14:paraId="2EA20548" w14:textId="77777777" w:rsidR="00EB60B4" w:rsidRPr="00EB60B4" w:rsidRDefault="00EB60B4" w:rsidP="00EB60B4">
            <w:pPr>
              <w:rPr>
                <w:rFonts w:ascii="Times New Roman" w:hAnsi="Times New Roman" w:cs="Times New Roman"/>
                <w:color w:val="000000"/>
                <w:lang w:val="en-GB"/>
              </w:rPr>
            </w:pPr>
            <w:r w:rsidRPr="00EB60B4">
              <w:rPr>
                <w:rFonts w:ascii="Times New Roman" w:hAnsi="Times New Roman" w:cs="Times New Roman"/>
                <w:color w:val="000000"/>
                <w:lang w:val="en-GB"/>
              </w:rPr>
              <w:t>Total</w:t>
            </w:r>
          </w:p>
        </w:tc>
        <w:tc>
          <w:tcPr>
            <w:tcW w:w="3294" w:type="dxa"/>
          </w:tcPr>
          <w:p w14:paraId="18B16A5C"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100,0</w:t>
            </w:r>
          </w:p>
        </w:tc>
        <w:tc>
          <w:tcPr>
            <w:tcW w:w="4165" w:type="dxa"/>
          </w:tcPr>
          <w:p w14:paraId="6949FEAC" w14:textId="77777777" w:rsidR="00EB60B4" w:rsidRPr="00EB60B4" w:rsidRDefault="00EB60B4" w:rsidP="00EB60B4">
            <w:pPr>
              <w:jc w:val="center"/>
              <w:rPr>
                <w:rFonts w:ascii="Times New Roman" w:hAnsi="Times New Roman" w:cs="Times New Roman"/>
                <w:color w:val="000000"/>
                <w:lang w:val="en-GB"/>
              </w:rPr>
            </w:pPr>
            <w:r w:rsidRPr="00EB60B4">
              <w:rPr>
                <w:rFonts w:ascii="Times New Roman" w:hAnsi="Times New Roman" w:cs="Times New Roman"/>
                <w:color w:val="000000"/>
                <w:lang w:val="en-GB"/>
              </w:rPr>
              <w:t>100,0</w:t>
            </w:r>
          </w:p>
        </w:tc>
      </w:tr>
    </w:tbl>
    <w:p w14:paraId="54B2D866" w14:textId="77777777" w:rsidR="007E1A5B" w:rsidRDefault="007E1A5B" w:rsidP="007E1A5B">
      <w:pPr>
        <w:rPr>
          <w:rFonts w:ascii="Times New Roman" w:eastAsia="Calibri" w:hAnsi="Times New Roman" w:cs="Times New Roman"/>
          <w:i/>
          <w:sz w:val="20"/>
          <w:szCs w:val="20"/>
          <w:lang w:val="en-GB"/>
        </w:rPr>
      </w:pPr>
      <w:r w:rsidRPr="00EB60B4">
        <w:rPr>
          <w:rFonts w:ascii="Times New Roman" w:eastAsia="Calibri" w:hAnsi="Times New Roman" w:cs="Times New Roman"/>
          <w:i/>
          <w:sz w:val="20"/>
          <w:szCs w:val="20"/>
          <w:lang w:val="en-GB"/>
        </w:rPr>
        <w:t>Source: Authors’ own calculation</w:t>
      </w:r>
      <w:r>
        <w:rPr>
          <w:rFonts w:ascii="Times New Roman" w:eastAsia="Calibri" w:hAnsi="Times New Roman" w:cs="Times New Roman"/>
          <w:i/>
          <w:sz w:val="20"/>
          <w:szCs w:val="20"/>
          <w:lang w:val="en-GB"/>
        </w:rPr>
        <w:t xml:space="preserve"> based on survey data</w:t>
      </w:r>
    </w:p>
    <w:p w14:paraId="096FF57D" w14:textId="77777777" w:rsidR="00EB60B4" w:rsidRPr="00EB60B4" w:rsidRDefault="00EB60B4" w:rsidP="00EB60B4">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 xml:space="preserve">Based on the correlation analysis, it was noticed that the increase in the level of education affects the increase of the chances for a farmer to keep financial notes. An important positive correlation was also observed with the variables presentence of HH income that come from farming specialization, number of working days for external to total. While a statistically significant negative correlation resulted between the percentage of consumption for household needs and the </w:t>
      </w:r>
      <w:r w:rsidRPr="00EB60B4">
        <w:rPr>
          <w:rFonts w:ascii="Times New Roman" w:eastAsia="Calibri" w:hAnsi="Times New Roman" w:cs="Times New Roman"/>
          <w:sz w:val="24"/>
          <w:szCs w:val="24"/>
          <w:lang w:val="en-GB"/>
        </w:rPr>
        <w:lastRenderedPageBreak/>
        <w:t>retention of financial information. This shows that the higher the percentage consumed for family needs, the lower the chances of farmers keeping records of financial information. Having a specialized farm as well as hiring off-farm staff also has a positive impact on keeping financial information. While age has no effect.</w:t>
      </w:r>
    </w:p>
    <w:p w14:paraId="27296C5E" w14:textId="77777777" w:rsidR="00EB60B4" w:rsidRPr="007E1A5B" w:rsidRDefault="00EB60B4" w:rsidP="00EB60B4">
      <w:pPr>
        <w:spacing w:before="120" w:after="120" w:line="276" w:lineRule="auto"/>
        <w:jc w:val="both"/>
        <w:rPr>
          <w:rFonts w:ascii="Times New Roman" w:eastAsia="Calibri" w:hAnsi="Times New Roman" w:cs="Times New Roman"/>
          <w:sz w:val="10"/>
          <w:szCs w:val="10"/>
          <w:highlight w:val="yellow"/>
          <w:lang w:val="en-GB"/>
        </w:rPr>
      </w:pPr>
    </w:p>
    <w:p w14:paraId="7B2F2635" w14:textId="632574B1" w:rsidR="00EB60B4" w:rsidRPr="00EB60B4" w:rsidRDefault="00EB60B4" w:rsidP="00EB60B4">
      <w:pPr>
        <w:keepNext/>
        <w:spacing w:before="120" w:after="120" w:line="276" w:lineRule="auto"/>
        <w:rPr>
          <w:rFonts w:ascii="Times New Roman" w:eastAsia="Calibri" w:hAnsi="Times New Roman" w:cs="Times New Roman"/>
          <w:iCs/>
          <w:sz w:val="24"/>
          <w:szCs w:val="24"/>
          <w:lang w:val="en-GB"/>
        </w:rPr>
      </w:pPr>
      <w:r w:rsidRPr="00EB60B4">
        <w:rPr>
          <w:rFonts w:ascii="Times New Roman" w:eastAsia="Calibri" w:hAnsi="Times New Roman" w:cs="Times New Roman"/>
          <w:iCs/>
          <w:sz w:val="24"/>
          <w:szCs w:val="24"/>
          <w:lang w:val="en-GB"/>
        </w:rPr>
        <w:t>Table 5</w:t>
      </w:r>
      <w:r w:rsidR="00AA1B27" w:rsidRPr="00C603A7">
        <w:rPr>
          <w:rFonts w:ascii="Times New Roman" w:eastAsia="Calibri" w:hAnsi="Times New Roman" w:cs="Times New Roman"/>
          <w:iCs/>
          <w:sz w:val="24"/>
          <w:szCs w:val="24"/>
          <w:lang w:val="en-GB"/>
        </w:rPr>
        <w:t>:</w:t>
      </w:r>
      <w:r w:rsidRPr="00EB60B4">
        <w:rPr>
          <w:rFonts w:ascii="Times New Roman" w:eastAsia="Calibri" w:hAnsi="Times New Roman" w:cs="Times New Roman"/>
          <w:iCs/>
          <w:sz w:val="24"/>
          <w:szCs w:val="24"/>
          <w:lang w:val="en-GB"/>
        </w:rPr>
        <w:t xml:space="preserve"> Spearman rang correlation table</w:t>
      </w:r>
    </w:p>
    <w:tbl>
      <w:tblPr>
        <w:tblStyle w:val="ListTable21"/>
        <w:tblW w:w="9346" w:type="dxa"/>
        <w:tblLook w:val="0600" w:firstRow="0" w:lastRow="0" w:firstColumn="0" w:lastColumn="0" w:noHBand="1" w:noVBand="1"/>
      </w:tblPr>
      <w:tblGrid>
        <w:gridCol w:w="4101"/>
        <w:gridCol w:w="2268"/>
        <w:gridCol w:w="2977"/>
      </w:tblGrid>
      <w:tr w:rsidR="00EB60B4" w:rsidRPr="00EB60B4" w14:paraId="0B01E00A" w14:textId="77777777" w:rsidTr="00F35B58">
        <w:trPr>
          <w:trHeight w:val="571"/>
        </w:trPr>
        <w:tc>
          <w:tcPr>
            <w:tcW w:w="4101" w:type="dxa"/>
            <w:hideMark/>
          </w:tcPr>
          <w:p w14:paraId="5AD9A890" w14:textId="77777777" w:rsidR="00EB60B4" w:rsidRPr="00EB60B4" w:rsidRDefault="00EB60B4" w:rsidP="00EB60B4">
            <w:pPr>
              <w:spacing w:line="276" w:lineRule="auto"/>
              <w:rPr>
                <w:rFonts w:ascii="Times New Roman" w:hAnsi="Times New Roman" w:cs="Times New Roman"/>
                <w:b/>
                <w:bCs/>
                <w:color w:val="000000"/>
                <w:lang w:val="en-GB"/>
              </w:rPr>
            </w:pPr>
            <w:r w:rsidRPr="00EB60B4">
              <w:rPr>
                <w:rFonts w:ascii="Times New Roman" w:hAnsi="Times New Roman" w:cs="Times New Roman"/>
                <w:b/>
                <w:bCs/>
                <w:color w:val="000000"/>
                <w:lang w:val="en-GB"/>
              </w:rPr>
              <w:t>Variables</w:t>
            </w:r>
          </w:p>
        </w:tc>
        <w:tc>
          <w:tcPr>
            <w:tcW w:w="2268" w:type="dxa"/>
            <w:hideMark/>
          </w:tcPr>
          <w:p w14:paraId="6B2494B8" w14:textId="77777777" w:rsidR="00EB60B4" w:rsidRPr="00EB60B4" w:rsidRDefault="00EB60B4" w:rsidP="00EB60B4">
            <w:pPr>
              <w:spacing w:line="276" w:lineRule="auto"/>
              <w:jc w:val="center"/>
              <w:rPr>
                <w:rFonts w:ascii="Times New Roman" w:hAnsi="Times New Roman" w:cs="Times New Roman"/>
                <w:b/>
                <w:bCs/>
                <w:color w:val="000000"/>
                <w:lang w:val="en-GB"/>
              </w:rPr>
            </w:pPr>
            <w:proofErr w:type="spellStart"/>
            <w:r w:rsidRPr="00EB60B4">
              <w:rPr>
                <w:rFonts w:ascii="Times New Roman" w:hAnsi="Times New Roman" w:cs="Times New Roman"/>
                <w:b/>
                <w:bCs/>
                <w:color w:val="000000"/>
                <w:lang w:val="en-GB"/>
              </w:rPr>
              <w:t>Notekeeping_scale</w:t>
            </w:r>
            <w:proofErr w:type="spellEnd"/>
          </w:p>
        </w:tc>
        <w:tc>
          <w:tcPr>
            <w:tcW w:w="2977" w:type="dxa"/>
            <w:hideMark/>
          </w:tcPr>
          <w:p w14:paraId="756A5312" w14:textId="77777777" w:rsidR="00EB60B4" w:rsidRPr="00EB60B4" w:rsidRDefault="00EB60B4" w:rsidP="00EB60B4">
            <w:pPr>
              <w:spacing w:line="276" w:lineRule="auto"/>
              <w:jc w:val="center"/>
              <w:rPr>
                <w:rFonts w:ascii="Times New Roman" w:hAnsi="Times New Roman" w:cs="Times New Roman"/>
                <w:b/>
                <w:bCs/>
                <w:color w:val="000000"/>
                <w:lang w:val="en-GB"/>
              </w:rPr>
            </w:pPr>
            <w:proofErr w:type="spellStart"/>
            <w:r w:rsidRPr="00EB60B4">
              <w:rPr>
                <w:rFonts w:ascii="Times New Roman" w:hAnsi="Times New Roman" w:cs="Times New Roman"/>
                <w:b/>
                <w:bCs/>
                <w:color w:val="000000"/>
                <w:lang w:val="en-GB"/>
              </w:rPr>
              <w:t>Costing_scale</w:t>
            </w:r>
            <w:proofErr w:type="spellEnd"/>
          </w:p>
        </w:tc>
      </w:tr>
      <w:tr w:rsidR="00EB60B4" w:rsidRPr="00EB60B4" w14:paraId="72458003" w14:textId="77777777" w:rsidTr="00F35B58">
        <w:trPr>
          <w:trHeight w:val="290"/>
        </w:trPr>
        <w:tc>
          <w:tcPr>
            <w:tcW w:w="4101" w:type="dxa"/>
            <w:hideMark/>
          </w:tcPr>
          <w:p w14:paraId="61FC94E8" w14:textId="77777777" w:rsidR="00EB60B4" w:rsidRPr="00EB60B4" w:rsidRDefault="00EB60B4" w:rsidP="00EB60B4">
            <w:pPr>
              <w:spacing w:line="276" w:lineRule="auto"/>
              <w:rPr>
                <w:rFonts w:ascii="Times New Roman" w:hAnsi="Times New Roman" w:cs="Times New Roman"/>
                <w:color w:val="000000"/>
                <w:lang w:val="en-GB"/>
              </w:rPr>
            </w:pPr>
            <w:r w:rsidRPr="00EB60B4">
              <w:rPr>
                <w:rFonts w:ascii="Times New Roman" w:hAnsi="Times New Roman" w:cs="Times New Roman"/>
                <w:color w:val="000000"/>
                <w:lang w:val="en-GB"/>
              </w:rPr>
              <w:t>Age</w:t>
            </w:r>
          </w:p>
        </w:tc>
        <w:tc>
          <w:tcPr>
            <w:tcW w:w="2268" w:type="dxa"/>
            <w:hideMark/>
          </w:tcPr>
          <w:p w14:paraId="31E967BE"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0,049</w:t>
            </w:r>
          </w:p>
        </w:tc>
        <w:tc>
          <w:tcPr>
            <w:tcW w:w="2977" w:type="dxa"/>
            <w:hideMark/>
          </w:tcPr>
          <w:p w14:paraId="623DA73B"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0,052</w:t>
            </w:r>
          </w:p>
        </w:tc>
      </w:tr>
      <w:tr w:rsidR="00EB60B4" w:rsidRPr="00EB60B4" w14:paraId="56CF62B1" w14:textId="77777777" w:rsidTr="00F35B58">
        <w:trPr>
          <w:trHeight w:val="311"/>
        </w:trPr>
        <w:tc>
          <w:tcPr>
            <w:tcW w:w="4101" w:type="dxa"/>
            <w:hideMark/>
          </w:tcPr>
          <w:p w14:paraId="6F4CDD69"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HH_education</w:t>
            </w:r>
            <w:proofErr w:type="spellEnd"/>
          </w:p>
        </w:tc>
        <w:tc>
          <w:tcPr>
            <w:tcW w:w="2268" w:type="dxa"/>
            <w:hideMark/>
          </w:tcPr>
          <w:p w14:paraId="72D6FBC1"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0,142</w:t>
            </w:r>
            <w:r w:rsidRPr="00EB60B4">
              <w:rPr>
                <w:rFonts w:ascii="Times New Roman" w:hAnsi="Times New Roman" w:cs="Times New Roman"/>
                <w:color w:val="000000"/>
                <w:vertAlign w:val="superscript"/>
                <w:lang w:val="en-GB"/>
              </w:rPr>
              <w:t>*</w:t>
            </w:r>
          </w:p>
        </w:tc>
        <w:tc>
          <w:tcPr>
            <w:tcW w:w="2977" w:type="dxa"/>
            <w:hideMark/>
          </w:tcPr>
          <w:p w14:paraId="3C8509A2"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0,146</w:t>
            </w:r>
            <w:r w:rsidRPr="00EB60B4">
              <w:rPr>
                <w:rFonts w:ascii="Times New Roman" w:hAnsi="Times New Roman" w:cs="Times New Roman"/>
                <w:color w:val="000000"/>
                <w:vertAlign w:val="superscript"/>
                <w:lang w:val="en-GB"/>
              </w:rPr>
              <w:t>*</w:t>
            </w:r>
          </w:p>
        </w:tc>
      </w:tr>
      <w:tr w:rsidR="00EB60B4" w:rsidRPr="00EB60B4" w14:paraId="0F11C451" w14:textId="77777777" w:rsidTr="00F35B58">
        <w:trPr>
          <w:trHeight w:val="311"/>
        </w:trPr>
        <w:tc>
          <w:tcPr>
            <w:tcW w:w="4101" w:type="dxa"/>
            <w:hideMark/>
          </w:tcPr>
          <w:p w14:paraId="6D0A0E25"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Vineyards_area</w:t>
            </w:r>
            <w:proofErr w:type="spellEnd"/>
          </w:p>
        </w:tc>
        <w:tc>
          <w:tcPr>
            <w:tcW w:w="2268" w:type="dxa"/>
            <w:hideMark/>
          </w:tcPr>
          <w:p w14:paraId="35CD8639"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0,157</w:t>
            </w:r>
            <w:r w:rsidRPr="00EB60B4">
              <w:rPr>
                <w:rFonts w:ascii="Times New Roman" w:hAnsi="Times New Roman" w:cs="Times New Roman"/>
                <w:color w:val="000000"/>
                <w:vertAlign w:val="superscript"/>
                <w:lang w:val="en-GB"/>
              </w:rPr>
              <w:t>*</w:t>
            </w:r>
          </w:p>
        </w:tc>
        <w:tc>
          <w:tcPr>
            <w:tcW w:w="2977" w:type="dxa"/>
            <w:hideMark/>
          </w:tcPr>
          <w:p w14:paraId="28A2F806"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0,227</w:t>
            </w:r>
            <w:r w:rsidRPr="00EB60B4">
              <w:rPr>
                <w:rFonts w:ascii="Times New Roman" w:hAnsi="Times New Roman" w:cs="Times New Roman"/>
                <w:color w:val="000000"/>
                <w:vertAlign w:val="superscript"/>
                <w:lang w:val="en-GB"/>
              </w:rPr>
              <w:t>**</w:t>
            </w:r>
          </w:p>
        </w:tc>
      </w:tr>
      <w:tr w:rsidR="00EB60B4" w:rsidRPr="00EB60B4" w14:paraId="47B26BBC" w14:textId="77777777" w:rsidTr="00F35B58">
        <w:trPr>
          <w:trHeight w:val="311"/>
        </w:trPr>
        <w:tc>
          <w:tcPr>
            <w:tcW w:w="4101" w:type="dxa"/>
            <w:hideMark/>
          </w:tcPr>
          <w:p w14:paraId="37A50B80"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Share_income_farming</w:t>
            </w:r>
            <w:proofErr w:type="spellEnd"/>
          </w:p>
        </w:tc>
        <w:tc>
          <w:tcPr>
            <w:tcW w:w="2268" w:type="dxa"/>
            <w:hideMark/>
          </w:tcPr>
          <w:p w14:paraId="51B7108E"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0,193</w:t>
            </w:r>
            <w:r w:rsidRPr="00EB60B4">
              <w:rPr>
                <w:rFonts w:ascii="Times New Roman" w:hAnsi="Times New Roman" w:cs="Times New Roman"/>
                <w:color w:val="000000"/>
                <w:vertAlign w:val="superscript"/>
                <w:lang w:val="en-GB"/>
              </w:rPr>
              <w:t>**</w:t>
            </w:r>
          </w:p>
        </w:tc>
        <w:tc>
          <w:tcPr>
            <w:tcW w:w="2977" w:type="dxa"/>
            <w:hideMark/>
          </w:tcPr>
          <w:p w14:paraId="7702F65E"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0,244</w:t>
            </w:r>
            <w:r w:rsidRPr="00EB60B4">
              <w:rPr>
                <w:rFonts w:ascii="Times New Roman" w:hAnsi="Times New Roman" w:cs="Times New Roman"/>
                <w:color w:val="000000"/>
                <w:vertAlign w:val="superscript"/>
                <w:lang w:val="en-GB"/>
              </w:rPr>
              <w:t>**</w:t>
            </w:r>
          </w:p>
        </w:tc>
      </w:tr>
      <w:tr w:rsidR="00EB60B4" w:rsidRPr="00EB60B4" w14:paraId="23D4C2BE" w14:textId="77777777" w:rsidTr="00F35B58">
        <w:trPr>
          <w:trHeight w:val="484"/>
        </w:trPr>
        <w:tc>
          <w:tcPr>
            <w:tcW w:w="4101" w:type="dxa"/>
            <w:hideMark/>
          </w:tcPr>
          <w:p w14:paraId="22DBE13E"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Share_selfconsumption</w:t>
            </w:r>
            <w:proofErr w:type="spellEnd"/>
          </w:p>
        </w:tc>
        <w:tc>
          <w:tcPr>
            <w:tcW w:w="2268" w:type="dxa"/>
            <w:hideMark/>
          </w:tcPr>
          <w:p w14:paraId="685CC81C"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-0,134</w:t>
            </w:r>
            <w:r w:rsidRPr="00EB60B4">
              <w:rPr>
                <w:rFonts w:ascii="Times New Roman" w:hAnsi="Times New Roman" w:cs="Times New Roman"/>
                <w:color w:val="000000"/>
                <w:vertAlign w:val="superscript"/>
                <w:lang w:val="en-GB"/>
              </w:rPr>
              <w:t>*</w:t>
            </w:r>
          </w:p>
        </w:tc>
        <w:tc>
          <w:tcPr>
            <w:tcW w:w="2977" w:type="dxa"/>
            <w:hideMark/>
          </w:tcPr>
          <w:p w14:paraId="4A75CA0A"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-0,181</w:t>
            </w:r>
            <w:r w:rsidRPr="00EB60B4">
              <w:rPr>
                <w:rFonts w:ascii="Times New Roman" w:hAnsi="Times New Roman" w:cs="Times New Roman"/>
                <w:color w:val="000000"/>
                <w:vertAlign w:val="superscript"/>
                <w:lang w:val="en-GB"/>
              </w:rPr>
              <w:t>**</w:t>
            </w:r>
          </w:p>
        </w:tc>
      </w:tr>
      <w:tr w:rsidR="00EB60B4" w:rsidRPr="00EB60B4" w14:paraId="7F00A646" w14:textId="77777777" w:rsidTr="00F35B58">
        <w:trPr>
          <w:trHeight w:val="258"/>
        </w:trPr>
        <w:tc>
          <w:tcPr>
            <w:tcW w:w="4101" w:type="dxa"/>
            <w:hideMark/>
          </w:tcPr>
          <w:p w14:paraId="343FB616"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Area_wineyard_share</w:t>
            </w:r>
            <w:proofErr w:type="spellEnd"/>
          </w:p>
        </w:tc>
        <w:tc>
          <w:tcPr>
            <w:tcW w:w="2268" w:type="dxa"/>
            <w:hideMark/>
          </w:tcPr>
          <w:p w14:paraId="0B393347"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0,146</w:t>
            </w:r>
            <w:r w:rsidRPr="00EB60B4">
              <w:rPr>
                <w:rFonts w:ascii="Times New Roman" w:hAnsi="Times New Roman" w:cs="Times New Roman"/>
                <w:color w:val="000000"/>
                <w:vertAlign w:val="superscript"/>
                <w:lang w:val="en-GB"/>
              </w:rPr>
              <w:t>*</w:t>
            </w:r>
          </w:p>
        </w:tc>
        <w:tc>
          <w:tcPr>
            <w:tcW w:w="2977" w:type="dxa"/>
            <w:hideMark/>
          </w:tcPr>
          <w:p w14:paraId="2C70D0A2"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0,226</w:t>
            </w:r>
            <w:r w:rsidRPr="00EB60B4">
              <w:rPr>
                <w:rFonts w:ascii="Times New Roman" w:hAnsi="Times New Roman" w:cs="Times New Roman"/>
                <w:color w:val="000000"/>
                <w:vertAlign w:val="superscript"/>
                <w:lang w:val="en-GB"/>
              </w:rPr>
              <w:t>**</w:t>
            </w:r>
          </w:p>
        </w:tc>
      </w:tr>
      <w:tr w:rsidR="00EB60B4" w:rsidRPr="00EB60B4" w14:paraId="728D3FF3" w14:textId="77777777" w:rsidTr="00F35B58">
        <w:trPr>
          <w:trHeight w:val="311"/>
        </w:trPr>
        <w:tc>
          <w:tcPr>
            <w:tcW w:w="4101" w:type="dxa"/>
            <w:hideMark/>
          </w:tcPr>
          <w:p w14:paraId="56F7B9F3" w14:textId="77777777" w:rsidR="00EB60B4" w:rsidRPr="00EB60B4" w:rsidRDefault="00EB60B4" w:rsidP="00EB60B4">
            <w:pPr>
              <w:spacing w:line="276" w:lineRule="auto"/>
              <w:rPr>
                <w:rFonts w:ascii="Times New Roman" w:hAnsi="Times New Roman" w:cs="Times New Roman"/>
                <w:color w:val="000000"/>
                <w:lang w:val="en-GB"/>
              </w:rPr>
            </w:pPr>
            <w:proofErr w:type="spellStart"/>
            <w:r w:rsidRPr="00EB60B4">
              <w:rPr>
                <w:rFonts w:ascii="Times New Roman" w:hAnsi="Times New Roman" w:cs="Times New Roman"/>
                <w:color w:val="000000"/>
                <w:lang w:val="en-GB"/>
              </w:rPr>
              <w:t>Hired_labor</w:t>
            </w:r>
            <w:proofErr w:type="spellEnd"/>
          </w:p>
        </w:tc>
        <w:tc>
          <w:tcPr>
            <w:tcW w:w="2268" w:type="dxa"/>
            <w:hideMark/>
          </w:tcPr>
          <w:p w14:paraId="78A5761E"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0,144</w:t>
            </w:r>
            <w:r w:rsidRPr="00EB60B4">
              <w:rPr>
                <w:rFonts w:ascii="Times New Roman" w:hAnsi="Times New Roman" w:cs="Times New Roman"/>
                <w:color w:val="000000"/>
                <w:vertAlign w:val="superscript"/>
                <w:lang w:val="en-GB"/>
              </w:rPr>
              <w:t>*</w:t>
            </w:r>
          </w:p>
        </w:tc>
        <w:tc>
          <w:tcPr>
            <w:tcW w:w="2977" w:type="dxa"/>
            <w:hideMark/>
          </w:tcPr>
          <w:p w14:paraId="7EB14ABD" w14:textId="77777777" w:rsidR="00EB60B4" w:rsidRPr="00EB60B4" w:rsidRDefault="00EB60B4" w:rsidP="00EB60B4">
            <w:pPr>
              <w:spacing w:line="276" w:lineRule="auto"/>
              <w:jc w:val="center"/>
              <w:rPr>
                <w:rFonts w:ascii="Times New Roman" w:hAnsi="Times New Roman" w:cs="Times New Roman"/>
                <w:color w:val="000000"/>
                <w:lang w:val="en-GB"/>
              </w:rPr>
            </w:pPr>
            <w:r w:rsidRPr="00EB60B4">
              <w:rPr>
                <w:rFonts w:ascii="Times New Roman" w:hAnsi="Times New Roman" w:cs="Times New Roman"/>
                <w:color w:val="000000"/>
                <w:lang w:val="en-GB"/>
              </w:rPr>
              <w:t>0,171</w:t>
            </w:r>
            <w:r w:rsidRPr="00EB60B4">
              <w:rPr>
                <w:rFonts w:ascii="Times New Roman" w:hAnsi="Times New Roman" w:cs="Times New Roman"/>
                <w:color w:val="000000"/>
                <w:vertAlign w:val="superscript"/>
                <w:lang w:val="en-GB"/>
              </w:rPr>
              <w:t>**</w:t>
            </w:r>
          </w:p>
        </w:tc>
      </w:tr>
    </w:tbl>
    <w:p w14:paraId="2FDB40E5" w14:textId="77777777" w:rsidR="00EB60B4" w:rsidRPr="00EB60B4" w:rsidRDefault="00EB60B4" w:rsidP="00EB60B4">
      <w:pPr>
        <w:spacing w:after="0" w:line="276" w:lineRule="auto"/>
        <w:ind w:left="360"/>
        <w:rPr>
          <w:rFonts w:ascii="Times New Roman" w:eastAsia="Calibri" w:hAnsi="Times New Roman" w:cs="Times New Roman"/>
          <w:sz w:val="18"/>
          <w:szCs w:val="18"/>
          <w:lang w:val="en-GB"/>
        </w:rPr>
      </w:pPr>
      <w:r w:rsidRPr="00EB60B4">
        <w:rPr>
          <w:rFonts w:ascii="Times New Roman" w:eastAsia="Calibri" w:hAnsi="Times New Roman" w:cs="Times New Roman"/>
          <w:sz w:val="18"/>
          <w:szCs w:val="18"/>
          <w:lang w:val="en-GB"/>
        </w:rPr>
        <w:t>**. Correlation is significant at the 0.01 level (2-tailed).</w:t>
      </w:r>
    </w:p>
    <w:p w14:paraId="09554F29" w14:textId="77777777" w:rsidR="00EB60B4" w:rsidRPr="00EB60B4" w:rsidRDefault="00EB60B4" w:rsidP="00EB60B4">
      <w:pPr>
        <w:spacing w:after="0" w:line="276" w:lineRule="auto"/>
        <w:ind w:left="360"/>
        <w:rPr>
          <w:rFonts w:ascii="Times New Roman" w:eastAsia="Calibri" w:hAnsi="Times New Roman" w:cs="Times New Roman"/>
          <w:sz w:val="18"/>
          <w:szCs w:val="18"/>
          <w:lang w:val="en-GB"/>
        </w:rPr>
      </w:pPr>
      <w:r w:rsidRPr="00EB60B4">
        <w:rPr>
          <w:rFonts w:ascii="Times New Roman" w:eastAsia="Calibri" w:hAnsi="Times New Roman" w:cs="Times New Roman"/>
          <w:sz w:val="18"/>
          <w:szCs w:val="18"/>
          <w:lang w:val="en-GB"/>
        </w:rPr>
        <w:t>*. Correlation is significant at the 0.05 level (2-tailed).</w:t>
      </w:r>
    </w:p>
    <w:p w14:paraId="4BE4FF2F" w14:textId="77777777" w:rsidR="007E1A5B" w:rsidRDefault="007E1A5B" w:rsidP="007E1A5B">
      <w:pPr>
        <w:spacing w:line="360" w:lineRule="auto"/>
        <w:rPr>
          <w:rFonts w:ascii="Times New Roman" w:eastAsia="Calibri" w:hAnsi="Times New Roman" w:cs="Times New Roman"/>
          <w:i/>
          <w:sz w:val="20"/>
          <w:szCs w:val="20"/>
          <w:lang w:val="en-GB"/>
        </w:rPr>
      </w:pPr>
      <w:r w:rsidRPr="00EB60B4">
        <w:rPr>
          <w:rFonts w:ascii="Times New Roman" w:eastAsia="Calibri" w:hAnsi="Times New Roman" w:cs="Times New Roman"/>
          <w:i/>
          <w:sz w:val="20"/>
          <w:szCs w:val="20"/>
          <w:lang w:val="en-GB"/>
        </w:rPr>
        <w:t>Source: Authors’ own calculation</w:t>
      </w:r>
      <w:r>
        <w:rPr>
          <w:rFonts w:ascii="Times New Roman" w:eastAsia="Calibri" w:hAnsi="Times New Roman" w:cs="Times New Roman"/>
          <w:i/>
          <w:sz w:val="20"/>
          <w:szCs w:val="20"/>
          <w:lang w:val="en-GB"/>
        </w:rPr>
        <w:t xml:space="preserve"> based on survey data</w:t>
      </w:r>
    </w:p>
    <w:p w14:paraId="7E909ED3" w14:textId="77777777" w:rsidR="00EB60B4" w:rsidRPr="007E1A5B" w:rsidRDefault="00EB60B4" w:rsidP="00EB60B4">
      <w:pPr>
        <w:spacing w:before="120" w:after="120" w:line="276" w:lineRule="auto"/>
        <w:ind w:left="360"/>
        <w:rPr>
          <w:rFonts w:ascii="Times New Roman" w:eastAsia="Calibri" w:hAnsi="Times New Roman" w:cs="Times New Roman"/>
          <w:sz w:val="10"/>
          <w:szCs w:val="10"/>
          <w:lang w:val="en-GB"/>
        </w:rPr>
      </w:pPr>
    </w:p>
    <w:p w14:paraId="0D2A0755" w14:textId="77777777" w:rsidR="00EB60B4" w:rsidRPr="00EB60B4" w:rsidRDefault="00EB60B4" w:rsidP="00EB60B4">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Another factor, which serves as an incentive for a farmer to keep financial information is having a sales contract. The dependency study was conducted through the Chi-square test, which confirms that there is a dependency between having a contract and retaining financial information (Pearson Chi-Square = 20,054, df = 4, sig = 0.000). As can be seen in the table below 43.8% of farmers who have had a contract often or always keep financial records, while the percentage of farmers who have not had a contract is only 18.2%.</w:t>
      </w:r>
    </w:p>
    <w:p w14:paraId="2067F2F7" w14:textId="77777777" w:rsidR="00EB60B4" w:rsidRPr="007E1A5B" w:rsidRDefault="00EB60B4" w:rsidP="00EB60B4">
      <w:pPr>
        <w:keepNext/>
        <w:spacing w:before="120" w:after="120" w:line="240" w:lineRule="auto"/>
        <w:rPr>
          <w:rFonts w:ascii="Times New Roman" w:eastAsia="Calibri" w:hAnsi="Times New Roman" w:cs="Times New Roman"/>
          <w:iCs/>
          <w:sz w:val="10"/>
          <w:szCs w:val="10"/>
          <w:lang w:val="en-GB"/>
        </w:rPr>
      </w:pPr>
    </w:p>
    <w:p w14:paraId="4EE0B237" w14:textId="14F418B6" w:rsidR="00EB60B4" w:rsidRPr="00EB60B4" w:rsidRDefault="00EB60B4" w:rsidP="00EB60B4">
      <w:pPr>
        <w:keepNext/>
        <w:spacing w:before="120" w:after="120" w:line="240" w:lineRule="auto"/>
        <w:rPr>
          <w:rFonts w:ascii="Times New Roman" w:eastAsia="Calibri" w:hAnsi="Times New Roman" w:cs="Times New Roman"/>
          <w:iCs/>
          <w:sz w:val="24"/>
          <w:szCs w:val="24"/>
          <w:lang w:val="en-GB"/>
        </w:rPr>
      </w:pPr>
      <w:r w:rsidRPr="00EB60B4">
        <w:rPr>
          <w:rFonts w:ascii="Times New Roman" w:eastAsia="Calibri" w:hAnsi="Times New Roman" w:cs="Times New Roman"/>
          <w:iCs/>
          <w:sz w:val="24"/>
          <w:szCs w:val="24"/>
          <w:lang w:val="en-GB"/>
        </w:rPr>
        <w:t>Table 6</w:t>
      </w:r>
      <w:r w:rsidR="00AA1B27" w:rsidRPr="00C603A7">
        <w:rPr>
          <w:rFonts w:ascii="Times New Roman" w:eastAsia="Calibri" w:hAnsi="Times New Roman" w:cs="Times New Roman"/>
          <w:iCs/>
          <w:sz w:val="24"/>
          <w:szCs w:val="24"/>
          <w:lang w:val="en-GB"/>
        </w:rPr>
        <w:t>:</w:t>
      </w:r>
      <w:r w:rsidRPr="00EB60B4">
        <w:rPr>
          <w:rFonts w:ascii="Times New Roman" w:eastAsia="Calibri" w:hAnsi="Times New Roman" w:cs="Times New Roman"/>
          <w:iCs/>
          <w:sz w:val="24"/>
          <w:szCs w:val="24"/>
          <w:lang w:val="en-GB"/>
        </w:rPr>
        <w:t xml:space="preserve"> </w:t>
      </w:r>
      <w:r w:rsidR="00F95AEF" w:rsidRPr="00EB60B4">
        <w:rPr>
          <w:rFonts w:ascii="Times New Roman" w:eastAsia="Calibri" w:hAnsi="Times New Roman" w:cs="Times New Roman"/>
          <w:iCs/>
          <w:sz w:val="24"/>
          <w:szCs w:val="24"/>
          <w:lang w:val="en-GB"/>
        </w:rPr>
        <w:t>Contingency</w:t>
      </w:r>
      <w:r w:rsidRPr="00EB60B4">
        <w:rPr>
          <w:rFonts w:ascii="Times New Roman" w:eastAsia="Calibri" w:hAnsi="Times New Roman" w:cs="Times New Roman"/>
          <w:iCs/>
          <w:sz w:val="24"/>
          <w:szCs w:val="24"/>
          <w:lang w:val="en-GB"/>
        </w:rPr>
        <w:t xml:space="preserve"> table </w:t>
      </w:r>
      <w:r w:rsidR="00F95AEF" w:rsidRPr="00EB60B4">
        <w:rPr>
          <w:rFonts w:ascii="Times New Roman" w:eastAsia="Calibri" w:hAnsi="Times New Roman" w:cs="Times New Roman"/>
          <w:iCs/>
          <w:sz w:val="24"/>
          <w:szCs w:val="24"/>
          <w:lang w:val="en-GB"/>
        </w:rPr>
        <w:t>between</w:t>
      </w:r>
      <w:r w:rsidRPr="00EB60B4">
        <w:rPr>
          <w:rFonts w:ascii="Times New Roman" w:eastAsia="Calibri" w:hAnsi="Times New Roman" w:cs="Times New Roman"/>
          <w:iCs/>
          <w:sz w:val="24"/>
          <w:szCs w:val="24"/>
          <w:lang w:val="en-GB"/>
        </w:rPr>
        <w:t xml:space="preserve"> keep notes for expenses and </w:t>
      </w:r>
      <w:proofErr w:type="gramStart"/>
      <w:r w:rsidRPr="00EB60B4">
        <w:rPr>
          <w:rFonts w:ascii="Times New Roman" w:eastAsia="Calibri" w:hAnsi="Times New Roman" w:cs="Times New Roman"/>
          <w:iCs/>
          <w:sz w:val="24"/>
          <w:szCs w:val="24"/>
          <w:lang w:val="en-GB"/>
        </w:rPr>
        <w:t>revenues  and</w:t>
      </w:r>
      <w:proofErr w:type="gramEnd"/>
      <w:r w:rsidRPr="00EB60B4">
        <w:rPr>
          <w:rFonts w:ascii="Times New Roman" w:eastAsia="Calibri" w:hAnsi="Times New Roman" w:cs="Times New Roman"/>
          <w:iCs/>
          <w:sz w:val="24"/>
          <w:szCs w:val="24"/>
          <w:lang w:val="en-GB"/>
        </w:rPr>
        <w:t xml:space="preserve"> having a contract</w:t>
      </w:r>
    </w:p>
    <w:tbl>
      <w:tblPr>
        <w:tblStyle w:val="ListTable21"/>
        <w:tblW w:w="9356" w:type="dxa"/>
        <w:tblLook w:val="0600" w:firstRow="0" w:lastRow="0" w:firstColumn="0" w:lastColumn="0" w:noHBand="1" w:noVBand="1"/>
      </w:tblPr>
      <w:tblGrid>
        <w:gridCol w:w="2349"/>
        <w:gridCol w:w="1161"/>
        <w:gridCol w:w="1106"/>
        <w:gridCol w:w="1329"/>
        <w:gridCol w:w="886"/>
        <w:gridCol w:w="1132"/>
        <w:gridCol w:w="1393"/>
      </w:tblGrid>
      <w:tr w:rsidR="00EB60B4" w:rsidRPr="00EB60B4" w14:paraId="005336BC" w14:textId="77777777" w:rsidTr="00F35B58">
        <w:trPr>
          <w:trHeight w:val="226"/>
        </w:trPr>
        <w:tc>
          <w:tcPr>
            <w:tcW w:w="2349" w:type="dxa"/>
            <w:vMerge w:val="restart"/>
            <w:hideMark/>
          </w:tcPr>
          <w:p w14:paraId="1D21C292" w14:textId="77777777" w:rsidR="00EB60B4" w:rsidRPr="00EB60B4" w:rsidRDefault="00EB60B4" w:rsidP="00EB60B4">
            <w:pPr>
              <w:ind w:left="267"/>
              <w:rPr>
                <w:rFonts w:ascii="Times New Roman" w:eastAsia="Calibri" w:hAnsi="Times New Roman" w:cs="Times New Roman"/>
                <w:lang w:val="en-GB"/>
              </w:rPr>
            </w:pPr>
          </w:p>
        </w:tc>
        <w:tc>
          <w:tcPr>
            <w:tcW w:w="5614" w:type="dxa"/>
            <w:gridSpan w:val="5"/>
            <w:hideMark/>
          </w:tcPr>
          <w:p w14:paraId="333225AB" w14:textId="77777777" w:rsidR="00EB60B4" w:rsidRPr="00EB60B4" w:rsidRDefault="00EB60B4" w:rsidP="00EB60B4">
            <w:pPr>
              <w:ind w:left="198"/>
              <w:rPr>
                <w:rFonts w:ascii="Times New Roman" w:eastAsia="Calibri" w:hAnsi="Times New Roman" w:cs="Times New Roman"/>
                <w:b/>
                <w:lang w:val="en-GB"/>
              </w:rPr>
            </w:pPr>
            <w:r w:rsidRPr="00EB60B4">
              <w:rPr>
                <w:rFonts w:ascii="Times New Roman" w:eastAsia="Calibri" w:hAnsi="Times New Roman" w:cs="Times New Roman"/>
                <w:b/>
                <w:bCs/>
                <w:lang w:val="en-GB"/>
              </w:rPr>
              <w:t xml:space="preserve">             Keep notes for expenses and revenues</w:t>
            </w:r>
          </w:p>
        </w:tc>
        <w:tc>
          <w:tcPr>
            <w:tcW w:w="1393" w:type="dxa"/>
            <w:vMerge w:val="restart"/>
            <w:hideMark/>
          </w:tcPr>
          <w:p w14:paraId="25DBE7AA" w14:textId="77777777" w:rsidR="00EB60B4" w:rsidRPr="00EB60B4" w:rsidRDefault="00EB60B4" w:rsidP="00EB60B4">
            <w:pPr>
              <w:ind w:left="12"/>
              <w:jc w:val="right"/>
              <w:rPr>
                <w:rFonts w:ascii="Times New Roman" w:eastAsia="Calibri" w:hAnsi="Times New Roman" w:cs="Times New Roman"/>
                <w:b/>
                <w:lang w:val="en-GB"/>
              </w:rPr>
            </w:pPr>
            <w:r w:rsidRPr="00EB60B4">
              <w:rPr>
                <w:rFonts w:ascii="Times New Roman" w:eastAsia="Calibri" w:hAnsi="Times New Roman" w:cs="Times New Roman"/>
                <w:b/>
                <w:bCs/>
                <w:lang w:val="en-GB"/>
              </w:rPr>
              <w:t>Total</w:t>
            </w:r>
          </w:p>
        </w:tc>
      </w:tr>
      <w:tr w:rsidR="00EB60B4" w:rsidRPr="00EB60B4" w14:paraId="3B3CD97C" w14:textId="77777777" w:rsidTr="00F35B58">
        <w:trPr>
          <w:trHeight w:val="242"/>
        </w:trPr>
        <w:tc>
          <w:tcPr>
            <w:tcW w:w="2349" w:type="dxa"/>
            <w:vMerge/>
            <w:hideMark/>
          </w:tcPr>
          <w:p w14:paraId="136772D6" w14:textId="77777777" w:rsidR="00EB60B4" w:rsidRPr="00EB60B4" w:rsidRDefault="00EB60B4" w:rsidP="00EB60B4">
            <w:pPr>
              <w:ind w:left="267"/>
              <w:rPr>
                <w:rFonts w:ascii="Times New Roman" w:eastAsia="Calibri" w:hAnsi="Times New Roman" w:cs="Times New Roman"/>
                <w:lang w:val="en-GB"/>
              </w:rPr>
            </w:pPr>
          </w:p>
        </w:tc>
        <w:tc>
          <w:tcPr>
            <w:tcW w:w="1161" w:type="dxa"/>
            <w:hideMark/>
          </w:tcPr>
          <w:p w14:paraId="02AD397D" w14:textId="77777777" w:rsidR="00EB60B4" w:rsidRPr="00EB60B4" w:rsidRDefault="00EB60B4" w:rsidP="00EB60B4">
            <w:pPr>
              <w:ind w:left="68"/>
              <w:rPr>
                <w:rFonts w:ascii="Times New Roman" w:eastAsia="Calibri" w:hAnsi="Times New Roman" w:cs="Times New Roman"/>
                <w:b/>
                <w:lang w:val="en-GB"/>
              </w:rPr>
            </w:pPr>
            <w:r w:rsidRPr="00EB60B4">
              <w:rPr>
                <w:rFonts w:ascii="Times New Roman" w:eastAsia="Calibri" w:hAnsi="Times New Roman" w:cs="Times New Roman"/>
                <w:b/>
                <w:bCs/>
                <w:lang w:val="en-GB"/>
              </w:rPr>
              <w:t>Never</w:t>
            </w:r>
          </w:p>
        </w:tc>
        <w:tc>
          <w:tcPr>
            <w:tcW w:w="1106" w:type="dxa"/>
            <w:hideMark/>
          </w:tcPr>
          <w:p w14:paraId="4A8325AA" w14:textId="77777777" w:rsidR="00EB60B4" w:rsidRPr="00EB60B4" w:rsidRDefault="00EB60B4" w:rsidP="00EB60B4">
            <w:pPr>
              <w:ind w:left="116"/>
              <w:rPr>
                <w:rFonts w:ascii="Times New Roman" w:eastAsia="Calibri" w:hAnsi="Times New Roman" w:cs="Times New Roman"/>
                <w:b/>
                <w:lang w:val="en-GB"/>
              </w:rPr>
            </w:pPr>
            <w:r w:rsidRPr="00EB60B4">
              <w:rPr>
                <w:rFonts w:ascii="Times New Roman" w:eastAsia="Calibri" w:hAnsi="Times New Roman" w:cs="Times New Roman"/>
                <w:b/>
                <w:bCs/>
                <w:lang w:val="en-GB"/>
              </w:rPr>
              <w:t>Rarely</w:t>
            </w:r>
          </w:p>
        </w:tc>
        <w:tc>
          <w:tcPr>
            <w:tcW w:w="1329" w:type="dxa"/>
            <w:hideMark/>
          </w:tcPr>
          <w:p w14:paraId="2448D212" w14:textId="77777777" w:rsidR="00EB60B4" w:rsidRPr="00EB60B4" w:rsidRDefault="00EB60B4" w:rsidP="00EB60B4">
            <w:pPr>
              <w:ind w:left="98"/>
              <w:rPr>
                <w:rFonts w:ascii="Times New Roman" w:eastAsia="Calibri" w:hAnsi="Times New Roman" w:cs="Times New Roman"/>
                <w:b/>
                <w:lang w:val="en-GB"/>
              </w:rPr>
            </w:pPr>
            <w:r w:rsidRPr="00EB60B4">
              <w:rPr>
                <w:rFonts w:ascii="Times New Roman" w:eastAsia="Calibri" w:hAnsi="Times New Roman" w:cs="Times New Roman"/>
                <w:b/>
                <w:bCs/>
                <w:lang w:val="en-GB"/>
              </w:rPr>
              <w:t>Sometimes</w:t>
            </w:r>
          </w:p>
        </w:tc>
        <w:tc>
          <w:tcPr>
            <w:tcW w:w="886" w:type="dxa"/>
            <w:hideMark/>
          </w:tcPr>
          <w:p w14:paraId="18AFBB08" w14:textId="77777777" w:rsidR="00EB60B4" w:rsidRPr="00EB60B4" w:rsidRDefault="00EB60B4" w:rsidP="00EB60B4">
            <w:pPr>
              <w:ind w:left="132"/>
              <w:rPr>
                <w:rFonts w:ascii="Times New Roman" w:eastAsia="Calibri" w:hAnsi="Times New Roman" w:cs="Times New Roman"/>
                <w:b/>
                <w:lang w:val="en-GB"/>
              </w:rPr>
            </w:pPr>
            <w:r w:rsidRPr="00EB60B4">
              <w:rPr>
                <w:rFonts w:ascii="Times New Roman" w:eastAsia="Calibri" w:hAnsi="Times New Roman" w:cs="Times New Roman"/>
                <w:b/>
                <w:bCs/>
                <w:lang w:val="en-GB"/>
              </w:rPr>
              <w:t>Often</w:t>
            </w:r>
          </w:p>
        </w:tc>
        <w:tc>
          <w:tcPr>
            <w:tcW w:w="1132" w:type="dxa"/>
            <w:hideMark/>
          </w:tcPr>
          <w:p w14:paraId="28A6E81E" w14:textId="77777777" w:rsidR="00EB60B4" w:rsidRPr="00EB60B4" w:rsidRDefault="00EB60B4" w:rsidP="00EB60B4">
            <w:pPr>
              <w:ind w:left="183"/>
              <w:rPr>
                <w:rFonts w:ascii="Times New Roman" w:eastAsia="Calibri" w:hAnsi="Times New Roman" w:cs="Times New Roman"/>
                <w:b/>
                <w:lang w:val="en-GB"/>
              </w:rPr>
            </w:pPr>
            <w:r w:rsidRPr="00EB60B4">
              <w:rPr>
                <w:rFonts w:ascii="Times New Roman" w:eastAsia="Calibri" w:hAnsi="Times New Roman" w:cs="Times New Roman"/>
                <w:b/>
                <w:bCs/>
                <w:lang w:val="en-GB"/>
              </w:rPr>
              <w:t>Always</w:t>
            </w:r>
          </w:p>
        </w:tc>
        <w:tc>
          <w:tcPr>
            <w:tcW w:w="1393" w:type="dxa"/>
            <w:vMerge/>
            <w:hideMark/>
          </w:tcPr>
          <w:p w14:paraId="262381F2" w14:textId="77777777" w:rsidR="00EB60B4" w:rsidRPr="00EB60B4" w:rsidRDefault="00EB60B4" w:rsidP="00EB60B4">
            <w:pPr>
              <w:ind w:left="360"/>
              <w:jc w:val="right"/>
              <w:rPr>
                <w:rFonts w:ascii="Times New Roman" w:eastAsia="Calibri" w:hAnsi="Times New Roman" w:cs="Times New Roman"/>
                <w:lang w:val="en-GB"/>
              </w:rPr>
            </w:pPr>
          </w:p>
        </w:tc>
      </w:tr>
      <w:tr w:rsidR="00EB60B4" w:rsidRPr="00EB60B4" w14:paraId="6DF1C191" w14:textId="77777777" w:rsidTr="00F35B58">
        <w:trPr>
          <w:trHeight w:val="120"/>
        </w:trPr>
        <w:tc>
          <w:tcPr>
            <w:tcW w:w="2349" w:type="dxa"/>
            <w:vMerge w:val="restart"/>
            <w:hideMark/>
          </w:tcPr>
          <w:p w14:paraId="28704935" w14:textId="77777777" w:rsidR="00EB60B4" w:rsidRPr="00EB60B4" w:rsidRDefault="00EB60B4" w:rsidP="00EB60B4">
            <w:pPr>
              <w:ind w:left="267"/>
              <w:rPr>
                <w:rFonts w:ascii="Times New Roman" w:eastAsia="Calibri" w:hAnsi="Times New Roman" w:cs="Times New Roman"/>
                <w:lang w:val="en-GB"/>
              </w:rPr>
            </w:pPr>
            <w:r w:rsidRPr="00EB60B4">
              <w:rPr>
                <w:rFonts w:ascii="Times New Roman" w:eastAsia="Calibri" w:hAnsi="Times New Roman" w:cs="Times New Roman"/>
                <w:lang w:val="en-GB"/>
              </w:rPr>
              <w:t xml:space="preserve">With contract </w:t>
            </w:r>
          </w:p>
        </w:tc>
        <w:tc>
          <w:tcPr>
            <w:tcW w:w="1161" w:type="dxa"/>
            <w:hideMark/>
          </w:tcPr>
          <w:p w14:paraId="76B543F4" w14:textId="77777777" w:rsidR="00EB60B4" w:rsidRPr="00EB60B4" w:rsidRDefault="00EB60B4" w:rsidP="00EB60B4">
            <w:pPr>
              <w:ind w:left="68"/>
              <w:rPr>
                <w:rFonts w:ascii="Times New Roman" w:eastAsia="Calibri" w:hAnsi="Times New Roman" w:cs="Times New Roman"/>
                <w:lang w:val="en-GB"/>
              </w:rPr>
            </w:pPr>
            <w:r w:rsidRPr="00EB60B4">
              <w:rPr>
                <w:rFonts w:ascii="Times New Roman" w:eastAsia="Calibri" w:hAnsi="Times New Roman" w:cs="Times New Roman"/>
                <w:lang w:val="en-GB"/>
              </w:rPr>
              <w:t>61</w:t>
            </w:r>
          </w:p>
        </w:tc>
        <w:tc>
          <w:tcPr>
            <w:tcW w:w="1106" w:type="dxa"/>
            <w:hideMark/>
          </w:tcPr>
          <w:p w14:paraId="22FCCF58" w14:textId="77777777" w:rsidR="00EB60B4" w:rsidRPr="00EB60B4" w:rsidRDefault="00EB60B4" w:rsidP="00EB60B4">
            <w:pPr>
              <w:ind w:left="116"/>
              <w:rPr>
                <w:rFonts w:ascii="Times New Roman" w:eastAsia="Calibri" w:hAnsi="Times New Roman" w:cs="Times New Roman"/>
                <w:lang w:val="en-GB"/>
              </w:rPr>
            </w:pPr>
            <w:r w:rsidRPr="00EB60B4">
              <w:rPr>
                <w:rFonts w:ascii="Times New Roman" w:eastAsia="Calibri" w:hAnsi="Times New Roman" w:cs="Times New Roman"/>
                <w:lang w:val="en-GB"/>
              </w:rPr>
              <w:t>18</w:t>
            </w:r>
          </w:p>
        </w:tc>
        <w:tc>
          <w:tcPr>
            <w:tcW w:w="1329" w:type="dxa"/>
            <w:hideMark/>
          </w:tcPr>
          <w:p w14:paraId="57AB256E" w14:textId="77777777" w:rsidR="00EB60B4" w:rsidRPr="00EB60B4" w:rsidRDefault="00EB60B4" w:rsidP="00EB60B4">
            <w:pPr>
              <w:ind w:left="98"/>
              <w:rPr>
                <w:rFonts w:ascii="Times New Roman" w:eastAsia="Calibri" w:hAnsi="Times New Roman" w:cs="Times New Roman"/>
                <w:lang w:val="en-GB"/>
              </w:rPr>
            </w:pPr>
            <w:r w:rsidRPr="00EB60B4">
              <w:rPr>
                <w:rFonts w:ascii="Times New Roman" w:eastAsia="Calibri" w:hAnsi="Times New Roman" w:cs="Times New Roman"/>
                <w:lang w:val="en-GB"/>
              </w:rPr>
              <w:t>21</w:t>
            </w:r>
          </w:p>
        </w:tc>
        <w:tc>
          <w:tcPr>
            <w:tcW w:w="886" w:type="dxa"/>
            <w:hideMark/>
          </w:tcPr>
          <w:p w14:paraId="5BC7CB38" w14:textId="77777777" w:rsidR="00EB60B4" w:rsidRPr="00EB60B4" w:rsidRDefault="00EB60B4" w:rsidP="00EB60B4">
            <w:pPr>
              <w:ind w:left="132"/>
              <w:rPr>
                <w:rFonts w:ascii="Times New Roman" w:eastAsia="Calibri" w:hAnsi="Times New Roman" w:cs="Times New Roman"/>
                <w:lang w:val="en-GB"/>
              </w:rPr>
            </w:pPr>
            <w:r w:rsidRPr="00EB60B4">
              <w:rPr>
                <w:rFonts w:ascii="Times New Roman" w:eastAsia="Calibri" w:hAnsi="Times New Roman" w:cs="Times New Roman"/>
                <w:lang w:val="en-GB"/>
              </w:rPr>
              <w:t>10</w:t>
            </w:r>
          </w:p>
        </w:tc>
        <w:tc>
          <w:tcPr>
            <w:tcW w:w="1132" w:type="dxa"/>
            <w:hideMark/>
          </w:tcPr>
          <w:p w14:paraId="1ACC1084" w14:textId="77777777" w:rsidR="00EB60B4" w:rsidRPr="00EB60B4" w:rsidRDefault="00EB60B4" w:rsidP="00EB60B4">
            <w:pPr>
              <w:ind w:left="183"/>
              <w:rPr>
                <w:rFonts w:ascii="Times New Roman" w:eastAsia="Calibri" w:hAnsi="Times New Roman" w:cs="Times New Roman"/>
                <w:lang w:val="en-GB"/>
              </w:rPr>
            </w:pPr>
            <w:r w:rsidRPr="00EB60B4">
              <w:rPr>
                <w:rFonts w:ascii="Times New Roman" w:eastAsia="Calibri" w:hAnsi="Times New Roman" w:cs="Times New Roman"/>
                <w:lang w:val="en-GB"/>
              </w:rPr>
              <w:t>68</w:t>
            </w:r>
          </w:p>
        </w:tc>
        <w:tc>
          <w:tcPr>
            <w:tcW w:w="1393" w:type="dxa"/>
            <w:hideMark/>
          </w:tcPr>
          <w:p w14:paraId="21A26462" w14:textId="77777777" w:rsidR="00EB60B4" w:rsidRPr="00EB60B4" w:rsidRDefault="00EB60B4" w:rsidP="00EB60B4">
            <w:pPr>
              <w:ind w:left="12"/>
              <w:jc w:val="right"/>
              <w:rPr>
                <w:rFonts w:ascii="Times New Roman" w:eastAsia="Calibri" w:hAnsi="Times New Roman" w:cs="Times New Roman"/>
                <w:lang w:val="en-GB"/>
              </w:rPr>
            </w:pPr>
            <w:r w:rsidRPr="00EB60B4">
              <w:rPr>
                <w:rFonts w:ascii="Times New Roman" w:eastAsia="Calibri" w:hAnsi="Times New Roman" w:cs="Times New Roman"/>
                <w:lang w:val="en-GB"/>
              </w:rPr>
              <w:t>178</w:t>
            </w:r>
          </w:p>
        </w:tc>
      </w:tr>
      <w:tr w:rsidR="00EB60B4" w:rsidRPr="00EB60B4" w14:paraId="1DB84136" w14:textId="77777777" w:rsidTr="00F35B58">
        <w:trPr>
          <w:trHeight w:val="226"/>
        </w:trPr>
        <w:tc>
          <w:tcPr>
            <w:tcW w:w="2349" w:type="dxa"/>
            <w:vMerge/>
            <w:hideMark/>
          </w:tcPr>
          <w:p w14:paraId="6E9BB9D4" w14:textId="77777777" w:rsidR="00EB60B4" w:rsidRPr="00EB60B4" w:rsidRDefault="00EB60B4" w:rsidP="00EB60B4">
            <w:pPr>
              <w:ind w:left="267"/>
              <w:rPr>
                <w:rFonts w:ascii="Times New Roman" w:eastAsia="Calibri" w:hAnsi="Times New Roman" w:cs="Times New Roman"/>
                <w:lang w:val="en-GB"/>
              </w:rPr>
            </w:pPr>
          </w:p>
        </w:tc>
        <w:tc>
          <w:tcPr>
            <w:tcW w:w="1161" w:type="dxa"/>
            <w:hideMark/>
          </w:tcPr>
          <w:p w14:paraId="6734F86B" w14:textId="77777777" w:rsidR="00EB60B4" w:rsidRPr="00EB60B4" w:rsidRDefault="00EB60B4" w:rsidP="00EB60B4">
            <w:pPr>
              <w:ind w:left="68"/>
              <w:rPr>
                <w:rFonts w:ascii="Times New Roman" w:eastAsia="Calibri" w:hAnsi="Times New Roman" w:cs="Times New Roman"/>
                <w:lang w:val="en-GB"/>
              </w:rPr>
            </w:pPr>
            <w:r w:rsidRPr="00EB60B4">
              <w:rPr>
                <w:rFonts w:ascii="Times New Roman" w:eastAsia="Calibri" w:hAnsi="Times New Roman" w:cs="Times New Roman"/>
                <w:lang w:val="en-GB"/>
              </w:rPr>
              <w:t>34.3%</w:t>
            </w:r>
          </w:p>
        </w:tc>
        <w:tc>
          <w:tcPr>
            <w:tcW w:w="1106" w:type="dxa"/>
            <w:hideMark/>
          </w:tcPr>
          <w:p w14:paraId="762B0B31" w14:textId="77777777" w:rsidR="00EB60B4" w:rsidRPr="00EB60B4" w:rsidRDefault="00EB60B4" w:rsidP="00EB60B4">
            <w:pPr>
              <w:ind w:left="116"/>
              <w:rPr>
                <w:rFonts w:ascii="Times New Roman" w:eastAsia="Calibri" w:hAnsi="Times New Roman" w:cs="Times New Roman"/>
                <w:lang w:val="en-GB"/>
              </w:rPr>
            </w:pPr>
            <w:r w:rsidRPr="00EB60B4">
              <w:rPr>
                <w:rFonts w:ascii="Times New Roman" w:eastAsia="Calibri" w:hAnsi="Times New Roman" w:cs="Times New Roman"/>
                <w:lang w:val="en-GB"/>
              </w:rPr>
              <w:t>10.1%</w:t>
            </w:r>
          </w:p>
        </w:tc>
        <w:tc>
          <w:tcPr>
            <w:tcW w:w="1329" w:type="dxa"/>
            <w:hideMark/>
          </w:tcPr>
          <w:p w14:paraId="6C594D56" w14:textId="77777777" w:rsidR="00EB60B4" w:rsidRPr="00EB60B4" w:rsidRDefault="00EB60B4" w:rsidP="00EB60B4">
            <w:pPr>
              <w:ind w:left="98"/>
              <w:rPr>
                <w:rFonts w:ascii="Times New Roman" w:eastAsia="Calibri" w:hAnsi="Times New Roman" w:cs="Times New Roman"/>
                <w:lang w:val="en-GB"/>
              </w:rPr>
            </w:pPr>
            <w:r w:rsidRPr="00EB60B4">
              <w:rPr>
                <w:rFonts w:ascii="Times New Roman" w:eastAsia="Calibri" w:hAnsi="Times New Roman" w:cs="Times New Roman"/>
                <w:lang w:val="en-GB"/>
              </w:rPr>
              <w:t>11.8%</w:t>
            </w:r>
          </w:p>
        </w:tc>
        <w:tc>
          <w:tcPr>
            <w:tcW w:w="886" w:type="dxa"/>
            <w:hideMark/>
          </w:tcPr>
          <w:p w14:paraId="38F8C3DE" w14:textId="77777777" w:rsidR="00EB60B4" w:rsidRPr="00EB60B4" w:rsidRDefault="00EB60B4" w:rsidP="00EB60B4">
            <w:pPr>
              <w:ind w:left="132"/>
              <w:rPr>
                <w:rFonts w:ascii="Times New Roman" w:eastAsia="Calibri" w:hAnsi="Times New Roman" w:cs="Times New Roman"/>
                <w:b/>
                <w:lang w:val="en-GB"/>
              </w:rPr>
            </w:pPr>
            <w:r w:rsidRPr="00EB60B4">
              <w:rPr>
                <w:rFonts w:ascii="Times New Roman" w:eastAsia="Calibri" w:hAnsi="Times New Roman" w:cs="Times New Roman"/>
                <w:b/>
                <w:lang w:val="en-GB"/>
              </w:rPr>
              <w:t>5.6%</w:t>
            </w:r>
          </w:p>
        </w:tc>
        <w:tc>
          <w:tcPr>
            <w:tcW w:w="1132" w:type="dxa"/>
            <w:hideMark/>
          </w:tcPr>
          <w:p w14:paraId="3A7EFD95" w14:textId="77777777" w:rsidR="00EB60B4" w:rsidRPr="00EB60B4" w:rsidRDefault="00EB60B4" w:rsidP="00EB60B4">
            <w:pPr>
              <w:ind w:left="183"/>
              <w:rPr>
                <w:rFonts w:ascii="Times New Roman" w:eastAsia="Calibri" w:hAnsi="Times New Roman" w:cs="Times New Roman"/>
                <w:b/>
                <w:lang w:val="en-GB"/>
              </w:rPr>
            </w:pPr>
            <w:r w:rsidRPr="00EB60B4">
              <w:rPr>
                <w:rFonts w:ascii="Times New Roman" w:eastAsia="Calibri" w:hAnsi="Times New Roman" w:cs="Times New Roman"/>
                <w:b/>
                <w:bCs/>
                <w:lang w:val="en-GB"/>
              </w:rPr>
              <w:t>38.2%</w:t>
            </w:r>
          </w:p>
        </w:tc>
        <w:tc>
          <w:tcPr>
            <w:tcW w:w="1393" w:type="dxa"/>
            <w:hideMark/>
          </w:tcPr>
          <w:p w14:paraId="34D3001E" w14:textId="77777777" w:rsidR="00EB60B4" w:rsidRPr="00EB60B4" w:rsidRDefault="00EB60B4" w:rsidP="00EB60B4">
            <w:pPr>
              <w:ind w:left="12"/>
              <w:jc w:val="right"/>
              <w:rPr>
                <w:rFonts w:ascii="Times New Roman" w:eastAsia="Calibri" w:hAnsi="Times New Roman" w:cs="Times New Roman"/>
                <w:lang w:val="en-GB"/>
              </w:rPr>
            </w:pPr>
            <w:r w:rsidRPr="00EB60B4">
              <w:rPr>
                <w:rFonts w:ascii="Times New Roman" w:eastAsia="Calibri" w:hAnsi="Times New Roman" w:cs="Times New Roman"/>
                <w:lang w:val="en-GB"/>
              </w:rPr>
              <w:t>100.0%</w:t>
            </w:r>
          </w:p>
        </w:tc>
      </w:tr>
      <w:tr w:rsidR="00EB60B4" w:rsidRPr="00EB60B4" w14:paraId="049D2EC6" w14:textId="77777777" w:rsidTr="00F35B58">
        <w:trPr>
          <w:trHeight w:val="120"/>
        </w:trPr>
        <w:tc>
          <w:tcPr>
            <w:tcW w:w="2349" w:type="dxa"/>
            <w:vMerge w:val="restart"/>
            <w:hideMark/>
          </w:tcPr>
          <w:p w14:paraId="40AA84F1" w14:textId="77777777" w:rsidR="00EB60B4" w:rsidRPr="00EB60B4" w:rsidRDefault="00EB60B4" w:rsidP="00EB60B4">
            <w:pPr>
              <w:ind w:left="267"/>
              <w:rPr>
                <w:rFonts w:ascii="Times New Roman" w:eastAsia="Calibri" w:hAnsi="Times New Roman" w:cs="Times New Roman"/>
                <w:lang w:val="en-GB"/>
              </w:rPr>
            </w:pPr>
            <w:r w:rsidRPr="00EB60B4">
              <w:rPr>
                <w:rFonts w:ascii="Times New Roman" w:eastAsia="Calibri" w:hAnsi="Times New Roman" w:cs="Times New Roman"/>
                <w:lang w:val="en-GB"/>
              </w:rPr>
              <w:t>With no contract</w:t>
            </w:r>
          </w:p>
        </w:tc>
        <w:tc>
          <w:tcPr>
            <w:tcW w:w="1161" w:type="dxa"/>
            <w:hideMark/>
          </w:tcPr>
          <w:p w14:paraId="68BAE099" w14:textId="77777777" w:rsidR="00EB60B4" w:rsidRPr="00EB60B4" w:rsidRDefault="00EB60B4" w:rsidP="00EB60B4">
            <w:pPr>
              <w:ind w:left="68"/>
              <w:rPr>
                <w:rFonts w:ascii="Times New Roman" w:eastAsia="Calibri" w:hAnsi="Times New Roman" w:cs="Times New Roman"/>
                <w:lang w:val="en-GB"/>
              </w:rPr>
            </w:pPr>
            <w:r w:rsidRPr="00EB60B4">
              <w:rPr>
                <w:rFonts w:ascii="Times New Roman" w:eastAsia="Calibri" w:hAnsi="Times New Roman" w:cs="Times New Roman"/>
                <w:lang w:val="en-GB"/>
              </w:rPr>
              <w:t>17</w:t>
            </w:r>
          </w:p>
        </w:tc>
        <w:tc>
          <w:tcPr>
            <w:tcW w:w="1106" w:type="dxa"/>
            <w:hideMark/>
          </w:tcPr>
          <w:p w14:paraId="64473F9F" w14:textId="77777777" w:rsidR="00EB60B4" w:rsidRPr="00EB60B4" w:rsidRDefault="00EB60B4" w:rsidP="00EB60B4">
            <w:pPr>
              <w:ind w:left="116"/>
              <w:rPr>
                <w:rFonts w:ascii="Times New Roman" w:eastAsia="Calibri" w:hAnsi="Times New Roman" w:cs="Times New Roman"/>
                <w:lang w:val="en-GB"/>
              </w:rPr>
            </w:pPr>
            <w:r w:rsidRPr="00EB60B4">
              <w:rPr>
                <w:rFonts w:ascii="Times New Roman" w:eastAsia="Calibri" w:hAnsi="Times New Roman" w:cs="Times New Roman"/>
                <w:lang w:val="en-GB"/>
              </w:rPr>
              <w:t>15</w:t>
            </w:r>
          </w:p>
        </w:tc>
        <w:tc>
          <w:tcPr>
            <w:tcW w:w="1329" w:type="dxa"/>
            <w:hideMark/>
          </w:tcPr>
          <w:p w14:paraId="1C60A223" w14:textId="77777777" w:rsidR="00EB60B4" w:rsidRPr="00EB60B4" w:rsidRDefault="00EB60B4" w:rsidP="00EB60B4">
            <w:pPr>
              <w:ind w:left="98"/>
              <w:rPr>
                <w:rFonts w:ascii="Times New Roman" w:eastAsia="Calibri" w:hAnsi="Times New Roman" w:cs="Times New Roman"/>
                <w:lang w:val="en-GB"/>
              </w:rPr>
            </w:pPr>
            <w:r w:rsidRPr="00EB60B4">
              <w:rPr>
                <w:rFonts w:ascii="Times New Roman" w:eastAsia="Calibri" w:hAnsi="Times New Roman" w:cs="Times New Roman"/>
                <w:lang w:val="en-GB"/>
              </w:rPr>
              <w:t>4</w:t>
            </w:r>
          </w:p>
        </w:tc>
        <w:tc>
          <w:tcPr>
            <w:tcW w:w="886" w:type="dxa"/>
            <w:hideMark/>
          </w:tcPr>
          <w:p w14:paraId="4238D75B" w14:textId="77777777" w:rsidR="00EB60B4" w:rsidRPr="00EB60B4" w:rsidRDefault="00EB60B4" w:rsidP="00EB60B4">
            <w:pPr>
              <w:ind w:left="132"/>
              <w:rPr>
                <w:rFonts w:ascii="Times New Roman" w:eastAsia="Calibri" w:hAnsi="Times New Roman" w:cs="Times New Roman"/>
                <w:lang w:val="en-GB"/>
              </w:rPr>
            </w:pPr>
            <w:r w:rsidRPr="00EB60B4">
              <w:rPr>
                <w:rFonts w:ascii="Times New Roman" w:eastAsia="Calibri" w:hAnsi="Times New Roman" w:cs="Times New Roman"/>
                <w:lang w:val="en-GB"/>
              </w:rPr>
              <w:t>1</w:t>
            </w:r>
          </w:p>
        </w:tc>
        <w:tc>
          <w:tcPr>
            <w:tcW w:w="1132" w:type="dxa"/>
            <w:hideMark/>
          </w:tcPr>
          <w:p w14:paraId="19AA9235" w14:textId="77777777" w:rsidR="00EB60B4" w:rsidRPr="00EB60B4" w:rsidRDefault="00EB60B4" w:rsidP="00EB60B4">
            <w:pPr>
              <w:ind w:left="183"/>
              <w:rPr>
                <w:rFonts w:ascii="Times New Roman" w:eastAsia="Calibri" w:hAnsi="Times New Roman" w:cs="Times New Roman"/>
                <w:lang w:val="en-GB"/>
              </w:rPr>
            </w:pPr>
            <w:r w:rsidRPr="00EB60B4">
              <w:rPr>
                <w:rFonts w:ascii="Times New Roman" w:eastAsia="Calibri" w:hAnsi="Times New Roman" w:cs="Times New Roman"/>
                <w:lang w:val="en-GB"/>
              </w:rPr>
              <w:t>7</w:t>
            </w:r>
          </w:p>
        </w:tc>
        <w:tc>
          <w:tcPr>
            <w:tcW w:w="1393" w:type="dxa"/>
            <w:hideMark/>
          </w:tcPr>
          <w:p w14:paraId="3FB7AE0E" w14:textId="77777777" w:rsidR="00EB60B4" w:rsidRPr="00EB60B4" w:rsidRDefault="00EB60B4" w:rsidP="00EB60B4">
            <w:pPr>
              <w:ind w:left="12"/>
              <w:jc w:val="right"/>
              <w:rPr>
                <w:rFonts w:ascii="Times New Roman" w:eastAsia="Calibri" w:hAnsi="Times New Roman" w:cs="Times New Roman"/>
                <w:lang w:val="en-GB"/>
              </w:rPr>
            </w:pPr>
            <w:r w:rsidRPr="00EB60B4">
              <w:rPr>
                <w:rFonts w:ascii="Times New Roman" w:eastAsia="Calibri" w:hAnsi="Times New Roman" w:cs="Times New Roman"/>
                <w:lang w:val="en-GB"/>
              </w:rPr>
              <w:t>44</w:t>
            </w:r>
          </w:p>
        </w:tc>
      </w:tr>
      <w:tr w:rsidR="00EB60B4" w:rsidRPr="00EB60B4" w14:paraId="491C7DDB" w14:textId="77777777" w:rsidTr="00F35B58">
        <w:trPr>
          <w:trHeight w:val="226"/>
        </w:trPr>
        <w:tc>
          <w:tcPr>
            <w:tcW w:w="2349" w:type="dxa"/>
            <w:vMerge/>
            <w:hideMark/>
          </w:tcPr>
          <w:p w14:paraId="1D1813AF" w14:textId="77777777" w:rsidR="00EB60B4" w:rsidRPr="00EB60B4" w:rsidRDefault="00EB60B4" w:rsidP="00EB60B4">
            <w:pPr>
              <w:ind w:left="267"/>
              <w:rPr>
                <w:rFonts w:ascii="Times New Roman" w:eastAsia="Calibri" w:hAnsi="Times New Roman" w:cs="Times New Roman"/>
                <w:lang w:val="en-GB"/>
              </w:rPr>
            </w:pPr>
          </w:p>
        </w:tc>
        <w:tc>
          <w:tcPr>
            <w:tcW w:w="1161" w:type="dxa"/>
            <w:hideMark/>
          </w:tcPr>
          <w:p w14:paraId="3FB7EB6E" w14:textId="77777777" w:rsidR="00EB60B4" w:rsidRPr="00EB60B4" w:rsidRDefault="00EB60B4" w:rsidP="00EB60B4">
            <w:pPr>
              <w:ind w:left="68"/>
              <w:rPr>
                <w:rFonts w:ascii="Times New Roman" w:eastAsia="Calibri" w:hAnsi="Times New Roman" w:cs="Times New Roman"/>
                <w:lang w:val="en-GB"/>
              </w:rPr>
            </w:pPr>
            <w:r w:rsidRPr="00EB60B4">
              <w:rPr>
                <w:rFonts w:ascii="Times New Roman" w:eastAsia="Calibri" w:hAnsi="Times New Roman" w:cs="Times New Roman"/>
                <w:bCs/>
                <w:lang w:val="en-GB"/>
              </w:rPr>
              <w:t>38.6%</w:t>
            </w:r>
          </w:p>
        </w:tc>
        <w:tc>
          <w:tcPr>
            <w:tcW w:w="1106" w:type="dxa"/>
            <w:hideMark/>
          </w:tcPr>
          <w:p w14:paraId="0DCFA00C" w14:textId="77777777" w:rsidR="00EB60B4" w:rsidRPr="00EB60B4" w:rsidRDefault="00EB60B4" w:rsidP="00EB60B4">
            <w:pPr>
              <w:ind w:left="116"/>
              <w:rPr>
                <w:rFonts w:ascii="Times New Roman" w:eastAsia="Calibri" w:hAnsi="Times New Roman" w:cs="Times New Roman"/>
                <w:lang w:val="en-GB"/>
              </w:rPr>
            </w:pPr>
            <w:r w:rsidRPr="00EB60B4">
              <w:rPr>
                <w:rFonts w:ascii="Times New Roman" w:eastAsia="Calibri" w:hAnsi="Times New Roman" w:cs="Times New Roman"/>
                <w:bCs/>
                <w:lang w:val="en-GB"/>
              </w:rPr>
              <w:t>34.1%</w:t>
            </w:r>
          </w:p>
        </w:tc>
        <w:tc>
          <w:tcPr>
            <w:tcW w:w="1329" w:type="dxa"/>
            <w:hideMark/>
          </w:tcPr>
          <w:p w14:paraId="713BB1F7" w14:textId="77777777" w:rsidR="00EB60B4" w:rsidRPr="00EB60B4" w:rsidRDefault="00EB60B4" w:rsidP="00EB60B4">
            <w:pPr>
              <w:ind w:left="98"/>
              <w:rPr>
                <w:rFonts w:ascii="Times New Roman" w:eastAsia="Calibri" w:hAnsi="Times New Roman" w:cs="Times New Roman"/>
                <w:lang w:val="en-GB"/>
              </w:rPr>
            </w:pPr>
            <w:r w:rsidRPr="00EB60B4">
              <w:rPr>
                <w:rFonts w:ascii="Times New Roman" w:eastAsia="Calibri" w:hAnsi="Times New Roman" w:cs="Times New Roman"/>
                <w:lang w:val="en-GB"/>
              </w:rPr>
              <w:t>9.1%</w:t>
            </w:r>
          </w:p>
        </w:tc>
        <w:tc>
          <w:tcPr>
            <w:tcW w:w="886" w:type="dxa"/>
            <w:hideMark/>
          </w:tcPr>
          <w:p w14:paraId="1A27471F" w14:textId="77777777" w:rsidR="00EB60B4" w:rsidRPr="00EB60B4" w:rsidRDefault="00EB60B4" w:rsidP="00EB60B4">
            <w:pPr>
              <w:ind w:left="132"/>
              <w:rPr>
                <w:rFonts w:ascii="Times New Roman" w:eastAsia="Calibri" w:hAnsi="Times New Roman" w:cs="Times New Roman"/>
                <w:b/>
                <w:lang w:val="en-GB"/>
              </w:rPr>
            </w:pPr>
            <w:r w:rsidRPr="00EB60B4">
              <w:rPr>
                <w:rFonts w:ascii="Times New Roman" w:eastAsia="Calibri" w:hAnsi="Times New Roman" w:cs="Times New Roman"/>
                <w:b/>
                <w:lang w:val="en-GB"/>
              </w:rPr>
              <w:t>2.3%</w:t>
            </w:r>
          </w:p>
        </w:tc>
        <w:tc>
          <w:tcPr>
            <w:tcW w:w="1132" w:type="dxa"/>
            <w:hideMark/>
          </w:tcPr>
          <w:p w14:paraId="6FE0236F" w14:textId="77777777" w:rsidR="00EB60B4" w:rsidRPr="00EB60B4" w:rsidRDefault="00EB60B4" w:rsidP="00EB60B4">
            <w:pPr>
              <w:ind w:left="183"/>
              <w:rPr>
                <w:rFonts w:ascii="Times New Roman" w:eastAsia="Calibri" w:hAnsi="Times New Roman" w:cs="Times New Roman"/>
                <w:b/>
                <w:lang w:val="en-GB"/>
              </w:rPr>
            </w:pPr>
            <w:r w:rsidRPr="00EB60B4">
              <w:rPr>
                <w:rFonts w:ascii="Times New Roman" w:eastAsia="Calibri" w:hAnsi="Times New Roman" w:cs="Times New Roman"/>
                <w:b/>
                <w:lang w:val="en-GB"/>
              </w:rPr>
              <w:t>15.9%</w:t>
            </w:r>
          </w:p>
        </w:tc>
        <w:tc>
          <w:tcPr>
            <w:tcW w:w="1393" w:type="dxa"/>
            <w:hideMark/>
          </w:tcPr>
          <w:p w14:paraId="04BC5BDA" w14:textId="77777777" w:rsidR="00EB60B4" w:rsidRPr="00EB60B4" w:rsidRDefault="00EB60B4" w:rsidP="00EB60B4">
            <w:pPr>
              <w:ind w:left="12"/>
              <w:jc w:val="right"/>
              <w:rPr>
                <w:rFonts w:ascii="Times New Roman" w:eastAsia="Calibri" w:hAnsi="Times New Roman" w:cs="Times New Roman"/>
                <w:lang w:val="en-GB"/>
              </w:rPr>
            </w:pPr>
            <w:r w:rsidRPr="00EB60B4">
              <w:rPr>
                <w:rFonts w:ascii="Times New Roman" w:eastAsia="Calibri" w:hAnsi="Times New Roman" w:cs="Times New Roman"/>
                <w:lang w:val="en-GB"/>
              </w:rPr>
              <w:t>100.0%</w:t>
            </w:r>
          </w:p>
        </w:tc>
      </w:tr>
      <w:tr w:rsidR="00EB60B4" w:rsidRPr="00EB60B4" w14:paraId="68A2C1ED" w14:textId="77777777" w:rsidTr="00F35B58">
        <w:trPr>
          <w:trHeight w:val="190"/>
        </w:trPr>
        <w:tc>
          <w:tcPr>
            <w:tcW w:w="2349" w:type="dxa"/>
            <w:vMerge w:val="restart"/>
            <w:hideMark/>
          </w:tcPr>
          <w:p w14:paraId="65151538" w14:textId="77777777" w:rsidR="00EB60B4" w:rsidRPr="00EB60B4" w:rsidRDefault="00EB60B4" w:rsidP="00EB60B4">
            <w:pPr>
              <w:ind w:left="267"/>
              <w:rPr>
                <w:rFonts w:ascii="Times New Roman" w:eastAsia="Calibri" w:hAnsi="Times New Roman" w:cs="Times New Roman"/>
                <w:lang w:val="en-GB"/>
              </w:rPr>
            </w:pPr>
            <w:r w:rsidRPr="00EB60B4">
              <w:rPr>
                <w:rFonts w:ascii="Times New Roman" w:eastAsia="Calibri" w:hAnsi="Times New Roman" w:cs="Times New Roman"/>
                <w:lang w:val="en-GB"/>
              </w:rPr>
              <w:t>Total</w:t>
            </w:r>
          </w:p>
        </w:tc>
        <w:tc>
          <w:tcPr>
            <w:tcW w:w="1161" w:type="dxa"/>
            <w:hideMark/>
          </w:tcPr>
          <w:p w14:paraId="74DBFD4D" w14:textId="77777777" w:rsidR="00EB60B4" w:rsidRPr="00EB60B4" w:rsidRDefault="00EB60B4" w:rsidP="00EB60B4">
            <w:pPr>
              <w:ind w:left="68"/>
              <w:rPr>
                <w:rFonts w:ascii="Times New Roman" w:eastAsia="Calibri" w:hAnsi="Times New Roman" w:cs="Times New Roman"/>
                <w:lang w:val="en-GB"/>
              </w:rPr>
            </w:pPr>
            <w:r w:rsidRPr="00EB60B4">
              <w:rPr>
                <w:rFonts w:ascii="Times New Roman" w:eastAsia="Calibri" w:hAnsi="Times New Roman" w:cs="Times New Roman"/>
                <w:lang w:val="en-GB"/>
              </w:rPr>
              <w:t>78</w:t>
            </w:r>
          </w:p>
        </w:tc>
        <w:tc>
          <w:tcPr>
            <w:tcW w:w="1106" w:type="dxa"/>
            <w:hideMark/>
          </w:tcPr>
          <w:p w14:paraId="36916BC2" w14:textId="77777777" w:rsidR="00EB60B4" w:rsidRPr="00EB60B4" w:rsidRDefault="00EB60B4" w:rsidP="00EB60B4">
            <w:pPr>
              <w:ind w:left="116"/>
              <w:rPr>
                <w:rFonts w:ascii="Times New Roman" w:eastAsia="Calibri" w:hAnsi="Times New Roman" w:cs="Times New Roman"/>
                <w:lang w:val="en-GB"/>
              </w:rPr>
            </w:pPr>
            <w:r w:rsidRPr="00EB60B4">
              <w:rPr>
                <w:rFonts w:ascii="Times New Roman" w:eastAsia="Calibri" w:hAnsi="Times New Roman" w:cs="Times New Roman"/>
                <w:lang w:val="en-GB"/>
              </w:rPr>
              <w:t>33</w:t>
            </w:r>
          </w:p>
        </w:tc>
        <w:tc>
          <w:tcPr>
            <w:tcW w:w="1329" w:type="dxa"/>
            <w:hideMark/>
          </w:tcPr>
          <w:p w14:paraId="03DFC3D4" w14:textId="77777777" w:rsidR="00EB60B4" w:rsidRPr="00EB60B4" w:rsidRDefault="00EB60B4" w:rsidP="00EB60B4">
            <w:pPr>
              <w:ind w:left="98"/>
              <w:rPr>
                <w:rFonts w:ascii="Times New Roman" w:eastAsia="Calibri" w:hAnsi="Times New Roman" w:cs="Times New Roman"/>
                <w:lang w:val="en-GB"/>
              </w:rPr>
            </w:pPr>
            <w:r w:rsidRPr="00EB60B4">
              <w:rPr>
                <w:rFonts w:ascii="Times New Roman" w:eastAsia="Calibri" w:hAnsi="Times New Roman" w:cs="Times New Roman"/>
                <w:lang w:val="en-GB"/>
              </w:rPr>
              <w:t>25</w:t>
            </w:r>
          </w:p>
        </w:tc>
        <w:tc>
          <w:tcPr>
            <w:tcW w:w="886" w:type="dxa"/>
            <w:hideMark/>
          </w:tcPr>
          <w:p w14:paraId="3A684108" w14:textId="77777777" w:rsidR="00EB60B4" w:rsidRPr="00EB60B4" w:rsidRDefault="00EB60B4" w:rsidP="00EB60B4">
            <w:pPr>
              <w:ind w:left="132"/>
              <w:rPr>
                <w:rFonts w:ascii="Times New Roman" w:eastAsia="Calibri" w:hAnsi="Times New Roman" w:cs="Times New Roman"/>
                <w:lang w:val="en-GB"/>
              </w:rPr>
            </w:pPr>
            <w:r w:rsidRPr="00EB60B4">
              <w:rPr>
                <w:rFonts w:ascii="Times New Roman" w:eastAsia="Calibri" w:hAnsi="Times New Roman" w:cs="Times New Roman"/>
                <w:lang w:val="en-GB"/>
              </w:rPr>
              <w:t>11</w:t>
            </w:r>
          </w:p>
        </w:tc>
        <w:tc>
          <w:tcPr>
            <w:tcW w:w="1132" w:type="dxa"/>
            <w:hideMark/>
          </w:tcPr>
          <w:p w14:paraId="4C939F68" w14:textId="77777777" w:rsidR="00EB60B4" w:rsidRPr="00EB60B4" w:rsidRDefault="00EB60B4" w:rsidP="00EB60B4">
            <w:pPr>
              <w:ind w:left="183"/>
              <w:rPr>
                <w:rFonts w:ascii="Times New Roman" w:eastAsia="Calibri" w:hAnsi="Times New Roman" w:cs="Times New Roman"/>
                <w:lang w:val="en-GB"/>
              </w:rPr>
            </w:pPr>
            <w:r w:rsidRPr="00EB60B4">
              <w:rPr>
                <w:rFonts w:ascii="Times New Roman" w:eastAsia="Calibri" w:hAnsi="Times New Roman" w:cs="Times New Roman"/>
                <w:lang w:val="en-GB"/>
              </w:rPr>
              <w:t>75</w:t>
            </w:r>
          </w:p>
        </w:tc>
        <w:tc>
          <w:tcPr>
            <w:tcW w:w="1393" w:type="dxa"/>
            <w:hideMark/>
          </w:tcPr>
          <w:p w14:paraId="565727E8" w14:textId="77777777" w:rsidR="00EB60B4" w:rsidRPr="00EB60B4" w:rsidRDefault="00EB60B4" w:rsidP="00EB60B4">
            <w:pPr>
              <w:ind w:left="12"/>
              <w:jc w:val="right"/>
              <w:rPr>
                <w:rFonts w:ascii="Times New Roman" w:eastAsia="Calibri" w:hAnsi="Times New Roman" w:cs="Times New Roman"/>
                <w:lang w:val="en-GB"/>
              </w:rPr>
            </w:pPr>
            <w:r w:rsidRPr="00EB60B4">
              <w:rPr>
                <w:rFonts w:ascii="Times New Roman" w:eastAsia="Calibri" w:hAnsi="Times New Roman" w:cs="Times New Roman"/>
                <w:lang w:val="en-GB"/>
              </w:rPr>
              <w:t>222</w:t>
            </w:r>
          </w:p>
        </w:tc>
      </w:tr>
      <w:tr w:rsidR="00EB60B4" w:rsidRPr="00EB60B4" w14:paraId="200E3C55" w14:textId="77777777" w:rsidTr="00F35B58">
        <w:trPr>
          <w:trHeight w:val="192"/>
        </w:trPr>
        <w:tc>
          <w:tcPr>
            <w:tcW w:w="2349" w:type="dxa"/>
            <w:vMerge/>
            <w:hideMark/>
          </w:tcPr>
          <w:p w14:paraId="46F68859" w14:textId="77777777" w:rsidR="00EB60B4" w:rsidRPr="00EB60B4" w:rsidRDefault="00EB60B4" w:rsidP="00EB60B4">
            <w:pPr>
              <w:ind w:left="360"/>
              <w:rPr>
                <w:rFonts w:ascii="Times New Roman" w:eastAsia="Calibri" w:hAnsi="Times New Roman" w:cs="Times New Roman"/>
                <w:lang w:val="en-GB"/>
              </w:rPr>
            </w:pPr>
          </w:p>
        </w:tc>
        <w:tc>
          <w:tcPr>
            <w:tcW w:w="1161" w:type="dxa"/>
            <w:hideMark/>
          </w:tcPr>
          <w:p w14:paraId="7AD9A3B5" w14:textId="77777777" w:rsidR="00EB60B4" w:rsidRPr="00EB60B4" w:rsidRDefault="00EB60B4" w:rsidP="00EB60B4">
            <w:pPr>
              <w:ind w:left="68"/>
              <w:rPr>
                <w:rFonts w:ascii="Times New Roman" w:eastAsia="Calibri" w:hAnsi="Times New Roman" w:cs="Times New Roman"/>
                <w:lang w:val="en-GB"/>
              </w:rPr>
            </w:pPr>
            <w:r w:rsidRPr="00EB60B4">
              <w:rPr>
                <w:rFonts w:ascii="Times New Roman" w:eastAsia="Calibri" w:hAnsi="Times New Roman" w:cs="Times New Roman"/>
                <w:lang w:val="en-GB"/>
              </w:rPr>
              <w:t>35.1%</w:t>
            </w:r>
          </w:p>
        </w:tc>
        <w:tc>
          <w:tcPr>
            <w:tcW w:w="1106" w:type="dxa"/>
            <w:hideMark/>
          </w:tcPr>
          <w:p w14:paraId="0A6A4DBE" w14:textId="77777777" w:rsidR="00EB60B4" w:rsidRPr="00EB60B4" w:rsidRDefault="00EB60B4" w:rsidP="00EB60B4">
            <w:pPr>
              <w:ind w:left="116"/>
              <w:rPr>
                <w:rFonts w:ascii="Times New Roman" w:eastAsia="Calibri" w:hAnsi="Times New Roman" w:cs="Times New Roman"/>
                <w:lang w:val="en-GB"/>
              </w:rPr>
            </w:pPr>
            <w:r w:rsidRPr="00EB60B4">
              <w:rPr>
                <w:rFonts w:ascii="Times New Roman" w:eastAsia="Calibri" w:hAnsi="Times New Roman" w:cs="Times New Roman"/>
                <w:lang w:val="en-GB"/>
              </w:rPr>
              <w:t>14.9%</w:t>
            </w:r>
          </w:p>
        </w:tc>
        <w:tc>
          <w:tcPr>
            <w:tcW w:w="1329" w:type="dxa"/>
            <w:hideMark/>
          </w:tcPr>
          <w:p w14:paraId="2B353696" w14:textId="77777777" w:rsidR="00EB60B4" w:rsidRPr="00EB60B4" w:rsidRDefault="00EB60B4" w:rsidP="00EB60B4">
            <w:pPr>
              <w:ind w:left="98"/>
              <w:rPr>
                <w:rFonts w:ascii="Times New Roman" w:eastAsia="Calibri" w:hAnsi="Times New Roman" w:cs="Times New Roman"/>
                <w:lang w:val="en-GB"/>
              </w:rPr>
            </w:pPr>
            <w:r w:rsidRPr="00EB60B4">
              <w:rPr>
                <w:rFonts w:ascii="Times New Roman" w:eastAsia="Calibri" w:hAnsi="Times New Roman" w:cs="Times New Roman"/>
                <w:lang w:val="en-GB"/>
              </w:rPr>
              <w:t>11.3%</w:t>
            </w:r>
          </w:p>
        </w:tc>
        <w:tc>
          <w:tcPr>
            <w:tcW w:w="886" w:type="dxa"/>
            <w:hideMark/>
          </w:tcPr>
          <w:p w14:paraId="337BD3B0" w14:textId="77777777" w:rsidR="00EB60B4" w:rsidRPr="00EB60B4" w:rsidRDefault="00EB60B4" w:rsidP="00EB60B4">
            <w:pPr>
              <w:ind w:left="132"/>
              <w:rPr>
                <w:rFonts w:ascii="Times New Roman" w:eastAsia="Calibri" w:hAnsi="Times New Roman" w:cs="Times New Roman"/>
                <w:lang w:val="en-GB"/>
              </w:rPr>
            </w:pPr>
            <w:r w:rsidRPr="00EB60B4">
              <w:rPr>
                <w:rFonts w:ascii="Times New Roman" w:eastAsia="Calibri" w:hAnsi="Times New Roman" w:cs="Times New Roman"/>
                <w:lang w:val="en-GB"/>
              </w:rPr>
              <w:t>5.0%</w:t>
            </w:r>
          </w:p>
        </w:tc>
        <w:tc>
          <w:tcPr>
            <w:tcW w:w="1132" w:type="dxa"/>
            <w:hideMark/>
          </w:tcPr>
          <w:p w14:paraId="3074CD72" w14:textId="77777777" w:rsidR="00EB60B4" w:rsidRPr="00EB60B4" w:rsidRDefault="00EB60B4" w:rsidP="00EB60B4">
            <w:pPr>
              <w:ind w:left="183"/>
              <w:rPr>
                <w:rFonts w:ascii="Times New Roman" w:eastAsia="Calibri" w:hAnsi="Times New Roman" w:cs="Times New Roman"/>
                <w:lang w:val="en-GB"/>
              </w:rPr>
            </w:pPr>
            <w:r w:rsidRPr="00EB60B4">
              <w:rPr>
                <w:rFonts w:ascii="Times New Roman" w:eastAsia="Calibri" w:hAnsi="Times New Roman" w:cs="Times New Roman"/>
                <w:lang w:val="en-GB"/>
              </w:rPr>
              <w:t>33.8%</w:t>
            </w:r>
          </w:p>
        </w:tc>
        <w:tc>
          <w:tcPr>
            <w:tcW w:w="1393" w:type="dxa"/>
            <w:hideMark/>
          </w:tcPr>
          <w:p w14:paraId="0BFA6556" w14:textId="77777777" w:rsidR="00EB60B4" w:rsidRPr="00EB60B4" w:rsidRDefault="00EB60B4" w:rsidP="00EB60B4">
            <w:pPr>
              <w:ind w:left="12"/>
              <w:jc w:val="right"/>
              <w:rPr>
                <w:rFonts w:ascii="Times New Roman" w:eastAsia="Calibri" w:hAnsi="Times New Roman" w:cs="Times New Roman"/>
                <w:lang w:val="en-GB"/>
              </w:rPr>
            </w:pPr>
            <w:r w:rsidRPr="00EB60B4">
              <w:rPr>
                <w:rFonts w:ascii="Times New Roman" w:eastAsia="Calibri" w:hAnsi="Times New Roman" w:cs="Times New Roman"/>
                <w:lang w:val="en-GB"/>
              </w:rPr>
              <w:t>100.0%</w:t>
            </w:r>
          </w:p>
        </w:tc>
      </w:tr>
    </w:tbl>
    <w:p w14:paraId="2E5803D5" w14:textId="0D861DA3" w:rsidR="00EB60B4" w:rsidRDefault="00EB60B4" w:rsidP="00AF7D3C">
      <w:pPr>
        <w:rPr>
          <w:rFonts w:ascii="Times New Roman" w:eastAsia="Calibri" w:hAnsi="Times New Roman" w:cs="Times New Roman"/>
          <w:i/>
          <w:sz w:val="20"/>
          <w:szCs w:val="20"/>
          <w:lang w:val="en-GB"/>
        </w:rPr>
      </w:pPr>
      <w:r w:rsidRPr="00EB60B4">
        <w:rPr>
          <w:rFonts w:ascii="Times New Roman" w:eastAsia="Calibri" w:hAnsi="Times New Roman" w:cs="Times New Roman"/>
          <w:i/>
          <w:sz w:val="20"/>
          <w:szCs w:val="20"/>
          <w:lang w:val="en-GB"/>
        </w:rPr>
        <w:t>Source: Authors’ own calculation</w:t>
      </w:r>
      <w:r w:rsidR="007E1A5B">
        <w:rPr>
          <w:rFonts w:ascii="Times New Roman" w:eastAsia="Calibri" w:hAnsi="Times New Roman" w:cs="Times New Roman"/>
          <w:i/>
          <w:sz w:val="20"/>
          <w:szCs w:val="20"/>
          <w:lang w:val="en-GB"/>
        </w:rPr>
        <w:t xml:space="preserve"> based on survey data</w:t>
      </w:r>
    </w:p>
    <w:p w14:paraId="0DEDECCE" w14:textId="7B081075" w:rsidR="00626499" w:rsidRDefault="00626499" w:rsidP="00AF7D3C">
      <w:pPr>
        <w:rPr>
          <w:rFonts w:ascii="Times New Roman" w:eastAsia="Calibri" w:hAnsi="Times New Roman" w:cs="Times New Roman"/>
          <w:i/>
          <w:sz w:val="20"/>
          <w:szCs w:val="20"/>
          <w:lang w:val="en-GB"/>
        </w:rPr>
      </w:pPr>
    </w:p>
    <w:p w14:paraId="7F6C57CE" w14:textId="7A716B0D" w:rsidR="00561FC0" w:rsidRDefault="00561FC0" w:rsidP="00AF7D3C">
      <w:pPr>
        <w:rPr>
          <w:rFonts w:ascii="Times New Roman" w:eastAsia="Calibri" w:hAnsi="Times New Roman" w:cs="Times New Roman"/>
          <w:i/>
          <w:sz w:val="20"/>
          <w:szCs w:val="20"/>
          <w:lang w:val="en-GB"/>
        </w:rPr>
      </w:pPr>
    </w:p>
    <w:p w14:paraId="6C24BD3E" w14:textId="77777777" w:rsidR="00561FC0" w:rsidRDefault="00561FC0" w:rsidP="00AF7D3C">
      <w:pPr>
        <w:rPr>
          <w:rFonts w:ascii="Times New Roman" w:eastAsia="Calibri" w:hAnsi="Times New Roman" w:cs="Times New Roman"/>
          <w:i/>
          <w:sz w:val="20"/>
          <w:szCs w:val="20"/>
          <w:lang w:val="en-GB"/>
        </w:rPr>
      </w:pPr>
    </w:p>
    <w:p w14:paraId="0197C093" w14:textId="77777777" w:rsidR="00EB60B4" w:rsidRPr="00EB60B4" w:rsidRDefault="00EB60B4" w:rsidP="00EB60B4">
      <w:pPr>
        <w:numPr>
          <w:ilvl w:val="0"/>
          <w:numId w:val="5"/>
        </w:numPr>
        <w:contextualSpacing/>
        <w:rPr>
          <w:rFonts w:ascii="Times New Roman" w:eastAsia="Calibri" w:hAnsi="Times New Roman" w:cs="Times New Roman"/>
          <w:b/>
          <w:bCs/>
          <w:sz w:val="28"/>
          <w:szCs w:val="28"/>
          <w:lang w:val="en-GB"/>
        </w:rPr>
      </w:pPr>
      <w:r w:rsidRPr="00EB60B4">
        <w:rPr>
          <w:rFonts w:ascii="Times New Roman" w:eastAsia="Calibri" w:hAnsi="Times New Roman" w:cs="Times New Roman"/>
          <w:b/>
          <w:bCs/>
          <w:sz w:val="28"/>
          <w:szCs w:val="28"/>
          <w:lang w:val="en-GB"/>
        </w:rPr>
        <w:lastRenderedPageBreak/>
        <w:t>Conclusion</w:t>
      </w:r>
    </w:p>
    <w:p w14:paraId="35C371BD" w14:textId="77777777" w:rsidR="00EB60B4" w:rsidRPr="00EB60B4" w:rsidRDefault="00EB60B4" w:rsidP="00EB60B4">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 xml:space="preserve">Kosovo enlarging agriculture markets and increased variety of financial products has been increasing the level of financing in the agriculture sector. Complexity of financial decisions and vulnerabilities emerging from financial activities is an accompanying factor. For this reason, in the last decade, the importance of financial literacy is increasing. Most of the interviewed farmers admit that they did not keep records or rarely kept records on expenditures or income and did not calculate costs and profits for the main product. Education becomes important since, together with contract farming, it increases chances for financial discipline. </w:t>
      </w:r>
    </w:p>
    <w:p w14:paraId="25EF2B31" w14:textId="77777777" w:rsidR="00EB60B4" w:rsidRPr="00EB60B4" w:rsidRDefault="00EB60B4" w:rsidP="00EB60B4">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 xml:space="preserve">The findings contribute to strengthen the understanding of financial literacy in agriculture sector and the need to inform the design of inclusive financial systems that are sensitive to the cognitive and informational limitations of rural households. This study provides recommendations for stakeholders in the supply side as well as demand side. The finance industry as well as advisory services should return the focus on easing the integration of young farmers into capital markets.    </w:t>
      </w:r>
    </w:p>
    <w:p w14:paraId="6358B956" w14:textId="77777777" w:rsidR="00EB60B4" w:rsidRPr="00EB60B4" w:rsidRDefault="00EB60B4" w:rsidP="00EB60B4">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 xml:space="preserve">Due to multithemed structure of the questionnaire, the variables related to financing needs and relations with financing institutions were very limited. Therefore, more should be done to explore the financial literacy based not only on statements but also behaviour. </w:t>
      </w:r>
    </w:p>
    <w:p w14:paraId="5DCAFD78" w14:textId="77777777" w:rsidR="00EB60B4" w:rsidRPr="00EB60B4" w:rsidRDefault="00EB60B4" w:rsidP="00EB60B4">
      <w:pPr>
        <w:spacing w:before="120" w:after="120" w:line="276" w:lineRule="auto"/>
        <w:jc w:val="both"/>
        <w:rPr>
          <w:rFonts w:ascii="Calibri" w:eastAsia="Calibri" w:hAnsi="Calibri" w:cs="Times New Roman"/>
          <w:lang w:val="en-GB"/>
        </w:rPr>
      </w:pPr>
    </w:p>
    <w:p w14:paraId="30E2FCD5" w14:textId="01F74596" w:rsidR="00EB60B4" w:rsidRPr="00EB60B4" w:rsidRDefault="00EB60B4" w:rsidP="00626499">
      <w:pPr>
        <w:spacing w:before="120" w:after="120" w:line="276" w:lineRule="auto"/>
        <w:jc w:val="both"/>
        <w:rPr>
          <w:rFonts w:ascii="Times New Roman" w:eastAsia="Calibri" w:hAnsi="Times New Roman" w:cs="Times New Roman"/>
          <w:highlight w:val="yellow"/>
          <w:lang w:val="en-GB"/>
        </w:rPr>
      </w:pPr>
      <w:r w:rsidRPr="00EB60B4">
        <w:rPr>
          <w:rFonts w:ascii="Calibri" w:eastAsia="Calibri" w:hAnsi="Calibri" w:cs="Times New Roman"/>
          <w:lang w:val="en-GB"/>
        </w:rPr>
        <w:t xml:space="preserve"> </w:t>
      </w:r>
    </w:p>
    <w:p w14:paraId="0F0A44EF" w14:textId="77777777" w:rsidR="00EB60B4" w:rsidRPr="00EB60B4" w:rsidRDefault="00EB60B4" w:rsidP="00EB60B4">
      <w:pPr>
        <w:rPr>
          <w:rFonts w:ascii="Times New Roman" w:eastAsia="Calibri" w:hAnsi="Times New Roman" w:cs="Times New Roman"/>
          <w:highlight w:val="yellow"/>
          <w:lang w:val="en-GB"/>
        </w:rPr>
      </w:pPr>
    </w:p>
    <w:p w14:paraId="1803383A" w14:textId="526B0C25" w:rsidR="00EB60B4" w:rsidRPr="00C603A7" w:rsidRDefault="00EB60B4" w:rsidP="00AA1B27">
      <w:pPr>
        <w:pStyle w:val="ListParagraph"/>
        <w:numPr>
          <w:ilvl w:val="0"/>
          <w:numId w:val="5"/>
        </w:numPr>
        <w:rPr>
          <w:rFonts w:ascii="Times New Roman" w:eastAsia="Calibri" w:hAnsi="Times New Roman" w:cs="Times New Roman"/>
          <w:sz w:val="28"/>
          <w:szCs w:val="28"/>
        </w:rPr>
      </w:pPr>
      <w:r w:rsidRPr="00C603A7">
        <w:rPr>
          <w:rFonts w:ascii="Times New Roman" w:eastAsia="Calibri" w:hAnsi="Times New Roman" w:cs="Times New Roman"/>
          <w:b/>
          <w:bCs/>
          <w:sz w:val="28"/>
          <w:szCs w:val="28"/>
        </w:rPr>
        <w:t>References</w:t>
      </w:r>
    </w:p>
    <w:p w14:paraId="4E90D3C6" w14:textId="77777777" w:rsidR="00EB60B4" w:rsidRPr="00EB60B4" w:rsidRDefault="00EB60B4" w:rsidP="00561FC0">
      <w:pPr>
        <w:spacing w:before="120" w:after="120" w:line="276" w:lineRule="auto"/>
        <w:jc w:val="both"/>
        <w:rPr>
          <w:rFonts w:ascii="Times New Roman" w:eastAsia="Calibri" w:hAnsi="Times New Roman" w:cs="Times New Roman"/>
          <w:sz w:val="24"/>
          <w:szCs w:val="24"/>
          <w:lang w:val="en-GB"/>
        </w:rPr>
      </w:pPr>
      <w:r w:rsidRPr="00EB60B4">
        <w:rPr>
          <w:rFonts w:ascii="Times New Roman" w:eastAsia="Calibri" w:hAnsi="Times New Roman" w:cs="Times New Roman"/>
          <w:color w:val="222222"/>
          <w:sz w:val="24"/>
          <w:szCs w:val="24"/>
          <w:shd w:val="clear" w:color="auto" w:fill="FFFFFF"/>
          <w:lang w:val="en-GB"/>
        </w:rPr>
        <w:t>Aggarwal, N., Gupta, M., &amp; Singh, S. (2014). Financial Literacy among farmers: Empirical evidence from Punjab. </w:t>
      </w:r>
      <w:r w:rsidRPr="00EB60B4">
        <w:rPr>
          <w:rFonts w:ascii="Times New Roman" w:eastAsia="Calibri" w:hAnsi="Times New Roman" w:cs="Times New Roman"/>
          <w:i/>
          <w:iCs/>
          <w:color w:val="222222"/>
          <w:sz w:val="24"/>
          <w:szCs w:val="24"/>
          <w:shd w:val="clear" w:color="auto" w:fill="FFFFFF"/>
          <w:lang w:val="en-GB"/>
        </w:rPr>
        <w:t>Pacific business review international</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6</w:t>
      </w:r>
      <w:r w:rsidRPr="00EB60B4">
        <w:rPr>
          <w:rFonts w:ascii="Times New Roman" w:eastAsia="Calibri" w:hAnsi="Times New Roman" w:cs="Times New Roman"/>
          <w:color w:val="222222"/>
          <w:sz w:val="24"/>
          <w:szCs w:val="24"/>
          <w:shd w:val="clear" w:color="auto" w:fill="FFFFFF"/>
          <w:lang w:val="en-GB"/>
        </w:rPr>
        <w:t>(7), 36-42.</w:t>
      </w:r>
    </w:p>
    <w:p w14:paraId="25193071"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color w:val="222222"/>
          <w:sz w:val="24"/>
          <w:szCs w:val="24"/>
          <w:shd w:val="clear" w:color="auto" w:fill="FFFFFF"/>
          <w:lang w:val="en-GB"/>
        </w:rPr>
        <w:t>Akoto, G. O., Appiah, K. O., &amp; Turkson, J. K. (2017). Financial literacy of cocoa farmers in Ghana. </w:t>
      </w:r>
      <w:r w:rsidRPr="00EB60B4">
        <w:rPr>
          <w:rFonts w:ascii="Times New Roman" w:eastAsia="Calibri" w:hAnsi="Times New Roman" w:cs="Times New Roman"/>
          <w:i/>
          <w:iCs/>
          <w:color w:val="222222"/>
          <w:sz w:val="24"/>
          <w:szCs w:val="24"/>
          <w:shd w:val="clear" w:color="auto" w:fill="FFFFFF"/>
          <w:lang w:val="en-GB"/>
        </w:rPr>
        <w:t>International Journal of Accounting and Finance</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7</w:t>
      </w:r>
      <w:r w:rsidRPr="00EB60B4">
        <w:rPr>
          <w:rFonts w:ascii="Times New Roman" w:eastAsia="Calibri" w:hAnsi="Times New Roman" w:cs="Times New Roman"/>
          <w:color w:val="222222"/>
          <w:sz w:val="24"/>
          <w:szCs w:val="24"/>
          <w:shd w:val="clear" w:color="auto" w:fill="FFFFFF"/>
          <w:lang w:val="en-GB"/>
        </w:rPr>
        <w:t>(1), 11-30.</w:t>
      </w:r>
    </w:p>
    <w:p w14:paraId="52642CE7" w14:textId="77777777" w:rsidR="00EB60B4" w:rsidRPr="00EB60B4" w:rsidRDefault="00EB60B4" w:rsidP="00561FC0">
      <w:pPr>
        <w:spacing w:before="120" w:after="120" w:line="276" w:lineRule="auto"/>
        <w:ind w:left="432" w:hanging="432"/>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sz w:val="24"/>
          <w:szCs w:val="24"/>
          <w:lang w:val="en-GB"/>
        </w:rPr>
        <w:t>FAO. 2016. Value Chain Study, Technical report prepared in the context of FAO Project: Capacity development of MAFRD economic analysis unit on agricultural policy impact assessment (in Kosovo), TCP/KOS/3501.</w:t>
      </w:r>
    </w:p>
    <w:p w14:paraId="681B6931"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proofErr w:type="spellStart"/>
      <w:r w:rsidRPr="00EB60B4">
        <w:rPr>
          <w:rFonts w:ascii="Times New Roman" w:eastAsia="Calibri" w:hAnsi="Times New Roman" w:cs="Times New Roman"/>
          <w:color w:val="222222"/>
          <w:sz w:val="24"/>
          <w:szCs w:val="24"/>
          <w:shd w:val="clear" w:color="auto" w:fill="FFFFFF"/>
          <w:lang w:val="en-GB"/>
        </w:rPr>
        <w:t>Gaisina</w:t>
      </w:r>
      <w:proofErr w:type="spellEnd"/>
      <w:r w:rsidRPr="00EB60B4">
        <w:rPr>
          <w:rFonts w:ascii="Times New Roman" w:eastAsia="Calibri" w:hAnsi="Times New Roman" w:cs="Times New Roman"/>
          <w:color w:val="222222"/>
          <w:sz w:val="24"/>
          <w:szCs w:val="24"/>
          <w:shd w:val="clear" w:color="auto" w:fill="FFFFFF"/>
          <w:lang w:val="en-GB"/>
        </w:rPr>
        <w:t xml:space="preserve">, S., &amp; </w:t>
      </w:r>
      <w:proofErr w:type="spellStart"/>
      <w:r w:rsidRPr="00EB60B4">
        <w:rPr>
          <w:rFonts w:ascii="Times New Roman" w:eastAsia="Calibri" w:hAnsi="Times New Roman" w:cs="Times New Roman"/>
          <w:color w:val="222222"/>
          <w:sz w:val="24"/>
          <w:szCs w:val="24"/>
          <w:shd w:val="clear" w:color="auto" w:fill="FFFFFF"/>
          <w:lang w:val="en-GB"/>
        </w:rPr>
        <w:t>Kaidarova</w:t>
      </w:r>
      <w:proofErr w:type="spellEnd"/>
      <w:r w:rsidRPr="00EB60B4">
        <w:rPr>
          <w:rFonts w:ascii="Times New Roman" w:eastAsia="Calibri" w:hAnsi="Times New Roman" w:cs="Times New Roman"/>
          <w:color w:val="222222"/>
          <w:sz w:val="24"/>
          <w:szCs w:val="24"/>
          <w:shd w:val="clear" w:color="auto" w:fill="FFFFFF"/>
          <w:lang w:val="en-GB"/>
        </w:rPr>
        <w:t xml:space="preserve">, L. (2017). Financial literacy of rural population as a determinant of saving </w:t>
      </w:r>
      <w:proofErr w:type="spellStart"/>
      <w:r w:rsidRPr="00EB60B4">
        <w:rPr>
          <w:rFonts w:ascii="Times New Roman" w:eastAsia="Calibri" w:hAnsi="Times New Roman" w:cs="Times New Roman"/>
          <w:color w:val="222222"/>
          <w:sz w:val="24"/>
          <w:szCs w:val="24"/>
          <w:shd w:val="clear" w:color="auto" w:fill="FFFFFF"/>
          <w:lang w:val="en-GB"/>
        </w:rPr>
        <w:t>behavior</w:t>
      </w:r>
      <w:proofErr w:type="spellEnd"/>
      <w:r w:rsidRPr="00EB60B4">
        <w:rPr>
          <w:rFonts w:ascii="Times New Roman" w:eastAsia="Calibri" w:hAnsi="Times New Roman" w:cs="Times New Roman"/>
          <w:color w:val="222222"/>
          <w:sz w:val="24"/>
          <w:szCs w:val="24"/>
          <w:shd w:val="clear" w:color="auto" w:fill="FFFFFF"/>
          <w:lang w:val="en-GB"/>
        </w:rPr>
        <w:t xml:space="preserve"> in Kazakhstan. </w:t>
      </w:r>
      <w:r w:rsidRPr="00EB60B4">
        <w:rPr>
          <w:rFonts w:ascii="Times New Roman" w:eastAsia="Calibri" w:hAnsi="Times New Roman" w:cs="Times New Roman"/>
          <w:i/>
          <w:iCs/>
          <w:color w:val="222222"/>
          <w:sz w:val="24"/>
          <w:szCs w:val="24"/>
          <w:shd w:val="clear" w:color="auto" w:fill="FFFFFF"/>
          <w:lang w:val="en-GB"/>
        </w:rPr>
        <w:t>Rural Sustainability Research</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38</w:t>
      </w:r>
      <w:r w:rsidRPr="00EB60B4">
        <w:rPr>
          <w:rFonts w:ascii="Times New Roman" w:eastAsia="Calibri" w:hAnsi="Times New Roman" w:cs="Times New Roman"/>
          <w:color w:val="222222"/>
          <w:sz w:val="24"/>
          <w:szCs w:val="24"/>
          <w:shd w:val="clear" w:color="auto" w:fill="FFFFFF"/>
          <w:lang w:val="en-GB"/>
        </w:rPr>
        <w:t>(333), 32-42.</w:t>
      </w:r>
    </w:p>
    <w:p w14:paraId="7E9F5D61"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proofErr w:type="spellStart"/>
      <w:r w:rsidRPr="00EB60B4">
        <w:rPr>
          <w:rFonts w:ascii="Times New Roman" w:eastAsia="Calibri" w:hAnsi="Times New Roman" w:cs="Times New Roman"/>
          <w:color w:val="222222"/>
          <w:sz w:val="24"/>
          <w:szCs w:val="24"/>
          <w:shd w:val="clear" w:color="auto" w:fill="FFFFFF"/>
          <w:lang w:val="en-GB"/>
        </w:rPr>
        <w:t>Gashi</w:t>
      </w:r>
      <w:proofErr w:type="spellEnd"/>
      <w:r w:rsidRPr="00EB60B4">
        <w:rPr>
          <w:rFonts w:ascii="Times New Roman" w:eastAsia="Calibri" w:hAnsi="Times New Roman" w:cs="Times New Roman"/>
          <w:color w:val="222222"/>
          <w:sz w:val="24"/>
          <w:szCs w:val="24"/>
          <w:shd w:val="clear" w:color="auto" w:fill="FFFFFF"/>
          <w:lang w:val="en-GB"/>
        </w:rPr>
        <w:t>, A. (2019). The role of investment in the field of agriculture in Kosovo. </w:t>
      </w:r>
      <w:r w:rsidRPr="00EB60B4">
        <w:rPr>
          <w:rFonts w:ascii="Times New Roman" w:eastAsia="Calibri" w:hAnsi="Times New Roman" w:cs="Times New Roman"/>
          <w:i/>
          <w:iCs/>
          <w:color w:val="222222"/>
          <w:sz w:val="24"/>
          <w:szCs w:val="24"/>
          <w:shd w:val="clear" w:color="auto" w:fill="FFFFFF"/>
          <w:lang w:val="en-GB"/>
        </w:rPr>
        <w:t>KNOWLEDGE-International Journal</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31</w:t>
      </w:r>
      <w:r w:rsidRPr="00EB60B4">
        <w:rPr>
          <w:rFonts w:ascii="Times New Roman" w:eastAsia="Calibri" w:hAnsi="Times New Roman" w:cs="Times New Roman"/>
          <w:color w:val="222222"/>
          <w:sz w:val="24"/>
          <w:szCs w:val="24"/>
          <w:shd w:val="clear" w:color="auto" w:fill="FFFFFF"/>
          <w:lang w:val="en-GB"/>
        </w:rPr>
        <w:t>(5), 1459-1462.</w:t>
      </w:r>
    </w:p>
    <w:p w14:paraId="42CE579C"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color w:val="222222"/>
          <w:sz w:val="24"/>
          <w:szCs w:val="24"/>
          <w:shd w:val="clear" w:color="auto" w:fill="FFFFFF"/>
          <w:lang w:val="en-GB"/>
        </w:rPr>
        <w:t>Gaurav, S., &amp; Singh, A. (2012). An inquiry into the financial literacy and cognitive ability of farmers: Evidence from rural India. </w:t>
      </w:r>
      <w:r w:rsidRPr="00EB60B4">
        <w:rPr>
          <w:rFonts w:ascii="Times New Roman" w:eastAsia="Calibri" w:hAnsi="Times New Roman" w:cs="Times New Roman"/>
          <w:i/>
          <w:iCs/>
          <w:color w:val="222222"/>
          <w:sz w:val="24"/>
          <w:szCs w:val="24"/>
          <w:shd w:val="clear" w:color="auto" w:fill="FFFFFF"/>
          <w:lang w:val="en-GB"/>
        </w:rPr>
        <w:t>Oxford Development Studies</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40</w:t>
      </w:r>
      <w:r w:rsidRPr="00EB60B4">
        <w:rPr>
          <w:rFonts w:ascii="Times New Roman" w:eastAsia="Calibri" w:hAnsi="Times New Roman" w:cs="Times New Roman"/>
          <w:color w:val="222222"/>
          <w:sz w:val="24"/>
          <w:szCs w:val="24"/>
          <w:shd w:val="clear" w:color="auto" w:fill="FFFFFF"/>
          <w:lang w:val="en-GB"/>
        </w:rPr>
        <w:t>(3), 358-380.</w:t>
      </w:r>
    </w:p>
    <w:p w14:paraId="0103E1CE"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color w:val="222222"/>
          <w:sz w:val="24"/>
          <w:szCs w:val="24"/>
          <w:shd w:val="clear" w:color="auto" w:fill="FFFFFF"/>
          <w:lang w:val="en-GB"/>
        </w:rPr>
        <w:t xml:space="preserve">Kebede, M., &amp; </w:t>
      </w:r>
      <w:proofErr w:type="spellStart"/>
      <w:r w:rsidRPr="00EB60B4">
        <w:rPr>
          <w:rFonts w:ascii="Times New Roman" w:eastAsia="Calibri" w:hAnsi="Times New Roman" w:cs="Times New Roman"/>
          <w:color w:val="222222"/>
          <w:sz w:val="24"/>
          <w:szCs w:val="24"/>
          <w:shd w:val="clear" w:color="auto" w:fill="FFFFFF"/>
          <w:lang w:val="en-GB"/>
        </w:rPr>
        <w:t>Kuar</w:t>
      </w:r>
      <w:proofErr w:type="spellEnd"/>
      <w:r w:rsidRPr="00EB60B4">
        <w:rPr>
          <w:rFonts w:ascii="Times New Roman" w:eastAsia="Calibri" w:hAnsi="Times New Roman" w:cs="Times New Roman"/>
          <w:color w:val="222222"/>
          <w:sz w:val="24"/>
          <w:szCs w:val="24"/>
          <w:shd w:val="clear" w:color="auto" w:fill="FFFFFF"/>
          <w:lang w:val="en-GB"/>
        </w:rPr>
        <w:t>, J. (2015). Financial literacy and management of personal finance: a review of recent literatures. </w:t>
      </w:r>
      <w:r w:rsidRPr="00EB60B4">
        <w:rPr>
          <w:rFonts w:ascii="Times New Roman" w:eastAsia="Calibri" w:hAnsi="Times New Roman" w:cs="Times New Roman"/>
          <w:i/>
          <w:iCs/>
          <w:color w:val="222222"/>
          <w:sz w:val="24"/>
          <w:szCs w:val="24"/>
          <w:shd w:val="clear" w:color="auto" w:fill="FFFFFF"/>
          <w:lang w:val="en-GB"/>
        </w:rPr>
        <w:t>Research Journal of Finance and Accounting</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6</w:t>
      </w:r>
      <w:r w:rsidRPr="00EB60B4">
        <w:rPr>
          <w:rFonts w:ascii="Times New Roman" w:eastAsia="Calibri" w:hAnsi="Times New Roman" w:cs="Times New Roman"/>
          <w:color w:val="222222"/>
          <w:sz w:val="24"/>
          <w:szCs w:val="24"/>
          <w:shd w:val="clear" w:color="auto" w:fill="FFFFFF"/>
          <w:lang w:val="en-GB"/>
        </w:rPr>
        <w:t>(13), 92-106.</w:t>
      </w:r>
    </w:p>
    <w:p w14:paraId="0CFA3F0E" w14:textId="77777777" w:rsidR="00EB60B4" w:rsidRPr="00EB60B4" w:rsidDel="00836F25" w:rsidRDefault="00EB60B4" w:rsidP="00561FC0">
      <w:pPr>
        <w:spacing w:before="120" w:after="120" w:line="276" w:lineRule="auto"/>
        <w:jc w:val="both"/>
        <w:rPr>
          <w:rFonts w:ascii="Times New Roman" w:eastAsia="Calibri" w:hAnsi="Times New Roman" w:cs="Times New Roman"/>
          <w:sz w:val="24"/>
          <w:szCs w:val="24"/>
          <w:lang w:val="en-GB"/>
        </w:rPr>
      </w:pPr>
      <w:proofErr w:type="spellStart"/>
      <w:r w:rsidRPr="00EB60B4">
        <w:rPr>
          <w:rFonts w:ascii="Times New Roman" w:eastAsia="Calibri" w:hAnsi="Times New Roman" w:cs="Times New Roman"/>
          <w:color w:val="222222"/>
          <w:sz w:val="24"/>
          <w:szCs w:val="24"/>
          <w:shd w:val="clear" w:color="auto" w:fill="FFFFFF"/>
          <w:lang w:val="en-GB"/>
        </w:rPr>
        <w:lastRenderedPageBreak/>
        <w:t>Lalrinmawia</w:t>
      </w:r>
      <w:proofErr w:type="spellEnd"/>
      <w:r w:rsidRPr="00EB60B4">
        <w:rPr>
          <w:rFonts w:ascii="Times New Roman" w:eastAsia="Calibri" w:hAnsi="Times New Roman" w:cs="Times New Roman"/>
          <w:color w:val="222222"/>
          <w:sz w:val="24"/>
          <w:szCs w:val="24"/>
          <w:shd w:val="clear" w:color="auto" w:fill="FFFFFF"/>
          <w:lang w:val="en-GB"/>
        </w:rPr>
        <w:t>, M., &amp; Gupta, H. (2015). Literacy and Knowledge: Farmers' financial inclusion feasibility. </w:t>
      </w:r>
      <w:r w:rsidRPr="00EB60B4">
        <w:rPr>
          <w:rFonts w:ascii="Times New Roman" w:eastAsia="Calibri" w:hAnsi="Times New Roman" w:cs="Times New Roman"/>
          <w:i/>
          <w:iCs/>
          <w:color w:val="222222"/>
          <w:sz w:val="24"/>
          <w:szCs w:val="24"/>
          <w:shd w:val="clear" w:color="auto" w:fill="FFFFFF"/>
          <w:lang w:val="en-GB"/>
        </w:rPr>
        <w:t>SCMS Journal of Indian Management</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12</w:t>
      </w:r>
      <w:r w:rsidRPr="00EB60B4">
        <w:rPr>
          <w:rFonts w:ascii="Times New Roman" w:eastAsia="Calibri" w:hAnsi="Times New Roman" w:cs="Times New Roman"/>
          <w:color w:val="222222"/>
          <w:sz w:val="24"/>
          <w:szCs w:val="24"/>
          <w:shd w:val="clear" w:color="auto" w:fill="FFFFFF"/>
          <w:lang w:val="en-GB"/>
        </w:rPr>
        <w:t>(3), 17.</w:t>
      </w:r>
    </w:p>
    <w:p w14:paraId="7751BDCC"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proofErr w:type="spellStart"/>
      <w:r w:rsidRPr="00EB60B4">
        <w:rPr>
          <w:rFonts w:ascii="Times New Roman" w:eastAsia="Calibri" w:hAnsi="Times New Roman" w:cs="Times New Roman"/>
          <w:color w:val="222222"/>
          <w:sz w:val="24"/>
          <w:szCs w:val="24"/>
          <w:shd w:val="clear" w:color="auto" w:fill="FFFFFF"/>
          <w:lang w:val="en-GB"/>
        </w:rPr>
        <w:t>Lulaj</w:t>
      </w:r>
      <w:proofErr w:type="spellEnd"/>
      <w:r w:rsidRPr="00EB60B4">
        <w:rPr>
          <w:rFonts w:ascii="Times New Roman" w:eastAsia="Calibri" w:hAnsi="Times New Roman" w:cs="Times New Roman"/>
          <w:color w:val="222222"/>
          <w:sz w:val="24"/>
          <w:szCs w:val="24"/>
          <w:shd w:val="clear" w:color="auto" w:fill="FFFFFF"/>
          <w:lang w:val="en-GB"/>
        </w:rPr>
        <w:t xml:space="preserve">, E., </w:t>
      </w:r>
      <w:proofErr w:type="spellStart"/>
      <w:r w:rsidRPr="00EB60B4">
        <w:rPr>
          <w:rFonts w:ascii="Times New Roman" w:eastAsia="Calibri" w:hAnsi="Times New Roman" w:cs="Times New Roman"/>
          <w:color w:val="222222"/>
          <w:sz w:val="24"/>
          <w:szCs w:val="24"/>
          <w:shd w:val="clear" w:color="auto" w:fill="FFFFFF"/>
          <w:lang w:val="en-GB"/>
        </w:rPr>
        <w:t>Dragusha</w:t>
      </w:r>
      <w:proofErr w:type="spellEnd"/>
      <w:r w:rsidRPr="00EB60B4">
        <w:rPr>
          <w:rFonts w:ascii="Times New Roman" w:eastAsia="Calibri" w:hAnsi="Times New Roman" w:cs="Times New Roman"/>
          <w:color w:val="222222"/>
          <w:sz w:val="24"/>
          <w:szCs w:val="24"/>
          <w:shd w:val="clear" w:color="auto" w:fill="FFFFFF"/>
          <w:lang w:val="en-GB"/>
        </w:rPr>
        <w:t xml:space="preserve">, B., </w:t>
      </w:r>
      <w:proofErr w:type="spellStart"/>
      <w:r w:rsidRPr="00EB60B4">
        <w:rPr>
          <w:rFonts w:ascii="Times New Roman" w:eastAsia="Calibri" w:hAnsi="Times New Roman" w:cs="Times New Roman"/>
          <w:color w:val="222222"/>
          <w:sz w:val="24"/>
          <w:szCs w:val="24"/>
          <w:shd w:val="clear" w:color="auto" w:fill="FFFFFF"/>
          <w:lang w:val="en-GB"/>
        </w:rPr>
        <w:t>Lulaj</w:t>
      </w:r>
      <w:proofErr w:type="spellEnd"/>
      <w:r w:rsidRPr="00EB60B4">
        <w:rPr>
          <w:rFonts w:ascii="Times New Roman" w:eastAsia="Calibri" w:hAnsi="Times New Roman" w:cs="Times New Roman"/>
          <w:color w:val="222222"/>
          <w:sz w:val="24"/>
          <w:szCs w:val="24"/>
          <w:shd w:val="clear" w:color="auto" w:fill="FFFFFF"/>
          <w:lang w:val="en-GB"/>
        </w:rPr>
        <w:t xml:space="preserve">, D., </w:t>
      </w:r>
      <w:proofErr w:type="spellStart"/>
      <w:r w:rsidRPr="00EB60B4">
        <w:rPr>
          <w:rFonts w:ascii="Times New Roman" w:eastAsia="Calibri" w:hAnsi="Times New Roman" w:cs="Times New Roman"/>
          <w:color w:val="222222"/>
          <w:sz w:val="24"/>
          <w:szCs w:val="24"/>
          <w:shd w:val="clear" w:color="auto" w:fill="FFFFFF"/>
          <w:lang w:val="en-GB"/>
        </w:rPr>
        <w:t>Rustaj</w:t>
      </w:r>
      <w:proofErr w:type="spellEnd"/>
      <w:r w:rsidRPr="00EB60B4">
        <w:rPr>
          <w:rFonts w:ascii="Times New Roman" w:eastAsia="Calibri" w:hAnsi="Times New Roman" w:cs="Times New Roman"/>
          <w:color w:val="222222"/>
          <w:sz w:val="24"/>
          <w:szCs w:val="24"/>
          <w:shd w:val="clear" w:color="auto" w:fill="FFFFFF"/>
          <w:lang w:val="en-GB"/>
        </w:rPr>
        <w:t xml:space="preserve">, V., &amp; </w:t>
      </w:r>
      <w:proofErr w:type="spellStart"/>
      <w:r w:rsidRPr="00EB60B4">
        <w:rPr>
          <w:rFonts w:ascii="Times New Roman" w:eastAsia="Calibri" w:hAnsi="Times New Roman" w:cs="Times New Roman"/>
          <w:color w:val="222222"/>
          <w:sz w:val="24"/>
          <w:szCs w:val="24"/>
          <w:shd w:val="clear" w:color="auto" w:fill="FFFFFF"/>
          <w:lang w:val="en-GB"/>
        </w:rPr>
        <w:t>Gashi</w:t>
      </w:r>
      <w:proofErr w:type="spellEnd"/>
      <w:r w:rsidRPr="00EB60B4">
        <w:rPr>
          <w:rFonts w:ascii="Times New Roman" w:eastAsia="Calibri" w:hAnsi="Times New Roman" w:cs="Times New Roman"/>
          <w:color w:val="222222"/>
          <w:sz w:val="24"/>
          <w:szCs w:val="24"/>
          <w:shd w:val="clear" w:color="auto" w:fill="FFFFFF"/>
          <w:lang w:val="en-GB"/>
        </w:rPr>
        <w:t xml:space="preserve">, A. (2021). Households savings and financial </w:t>
      </w:r>
      <w:proofErr w:type="spellStart"/>
      <w:r w:rsidRPr="00EB60B4">
        <w:rPr>
          <w:rFonts w:ascii="Times New Roman" w:eastAsia="Calibri" w:hAnsi="Times New Roman" w:cs="Times New Roman"/>
          <w:color w:val="222222"/>
          <w:sz w:val="24"/>
          <w:szCs w:val="24"/>
          <w:shd w:val="clear" w:color="auto" w:fill="FFFFFF"/>
          <w:lang w:val="en-GB"/>
        </w:rPr>
        <w:t>behavior</w:t>
      </w:r>
      <w:proofErr w:type="spellEnd"/>
      <w:r w:rsidRPr="00EB60B4">
        <w:rPr>
          <w:rFonts w:ascii="Times New Roman" w:eastAsia="Calibri" w:hAnsi="Times New Roman" w:cs="Times New Roman"/>
          <w:color w:val="222222"/>
          <w:sz w:val="24"/>
          <w:szCs w:val="24"/>
          <w:shd w:val="clear" w:color="auto" w:fill="FFFFFF"/>
          <w:lang w:val="en-GB"/>
        </w:rPr>
        <w:t xml:space="preserve"> in relation to the ability to handle financial emergencies: case study of Kosovo. </w:t>
      </w:r>
      <w:r w:rsidRPr="00EB60B4">
        <w:rPr>
          <w:rFonts w:ascii="Times New Roman" w:eastAsia="Calibri" w:hAnsi="Times New Roman" w:cs="Times New Roman"/>
          <w:i/>
          <w:iCs/>
          <w:color w:val="222222"/>
          <w:sz w:val="24"/>
          <w:szCs w:val="24"/>
          <w:shd w:val="clear" w:color="auto" w:fill="FFFFFF"/>
          <w:lang w:val="en-GB"/>
        </w:rPr>
        <w:t xml:space="preserve">Acta </w:t>
      </w:r>
      <w:proofErr w:type="spellStart"/>
      <w:r w:rsidRPr="00EB60B4">
        <w:rPr>
          <w:rFonts w:ascii="Times New Roman" w:eastAsia="Calibri" w:hAnsi="Times New Roman" w:cs="Times New Roman"/>
          <w:i/>
          <w:iCs/>
          <w:color w:val="222222"/>
          <w:sz w:val="24"/>
          <w:szCs w:val="24"/>
          <w:shd w:val="clear" w:color="auto" w:fill="FFFFFF"/>
          <w:lang w:val="en-GB"/>
        </w:rPr>
        <w:t>Scientiarum</w:t>
      </w:r>
      <w:proofErr w:type="spellEnd"/>
      <w:r w:rsidRPr="00EB60B4">
        <w:rPr>
          <w:rFonts w:ascii="Times New Roman" w:eastAsia="Calibri" w:hAnsi="Times New Roman" w:cs="Times New Roman"/>
          <w:i/>
          <w:iCs/>
          <w:color w:val="222222"/>
          <w:sz w:val="24"/>
          <w:szCs w:val="24"/>
          <w:shd w:val="clear" w:color="auto" w:fill="FFFFFF"/>
          <w:lang w:val="en-GB"/>
        </w:rPr>
        <w:t xml:space="preserve"> </w:t>
      </w:r>
      <w:proofErr w:type="spellStart"/>
      <w:r w:rsidRPr="00EB60B4">
        <w:rPr>
          <w:rFonts w:ascii="Times New Roman" w:eastAsia="Calibri" w:hAnsi="Times New Roman" w:cs="Times New Roman"/>
          <w:i/>
          <w:iCs/>
          <w:color w:val="222222"/>
          <w:sz w:val="24"/>
          <w:szCs w:val="24"/>
          <w:shd w:val="clear" w:color="auto" w:fill="FFFFFF"/>
          <w:lang w:val="en-GB"/>
        </w:rPr>
        <w:t>Polonorum</w:t>
      </w:r>
      <w:proofErr w:type="spellEnd"/>
      <w:r w:rsidRPr="00EB60B4">
        <w:rPr>
          <w:rFonts w:ascii="Times New Roman" w:eastAsia="Calibri" w:hAnsi="Times New Roman" w:cs="Times New Roman"/>
          <w:i/>
          <w:iCs/>
          <w:color w:val="222222"/>
          <w:sz w:val="24"/>
          <w:szCs w:val="24"/>
          <w:shd w:val="clear" w:color="auto" w:fill="FFFFFF"/>
          <w:lang w:val="en-GB"/>
        </w:rPr>
        <w:t xml:space="preserve">. </w:t>
      </w:r>
      <w:proofErr w:type="spellStart"/>
      <w:r w:rsidRPr="00EB60B4">
        <w:rPr>
          <w:rFonts w:ascii="Times New Roman" w:eastAsia="Calibri" w:hAnsi="Times New Roman" w:cs="Times New Roman"/>
          <w:i/>
          <w:iCs/>
          <w:color w:val="222222"/>
          <w:sz w:val="24"/>
          <w:szCs w:val="24"/>
          <w:shd w:val="clear" w:color="auto" w:fill="FFFFFF"/>
          <w:lang w:val="en-GB"/>
        </w:rPr>
        <w:t>Oeconomia</w:t>
      </w:r>
      <w:proofErr w:type="spellEnd"/>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20</w:t>
      </w:r>
      <w:r w:rsidRPr="00EB60B4">
        <w:rPr>
          <w:rFonts w:ascii="Times New Roman" w:eastAsia="Calibri" w:hAnsi="Times New Roman" w:cs="Times New Roman"/>
          <w:color w:val="222222"/>
          <w:sz w:val="24"/>
          <w:szCs w:val="24"/>
          <w:shd w:val="clear" w:color="auto" w:fill="FFFFFF"/>
          <w:lang w:val="en-GB"/>
        </w:rPr>
        <w:t>(1), 35-48.</w:t>
      </w:r>
    </w:p>
    <w:p w14:paraId="15EB2BEB"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proofErr w:type="spellStart"/>
      <w:r w:rsidRPr="00EB60B4">
        <w:rPr>
          <w:rFonts w:ascii="Times New Roman" w:eastAsia="Calibri" w:hAnsi="Times New Roman" w:cs="Times New Roman"/>
          <w:color w:val="222222"/>
          <w:sz w:val="24"/>
          <w:szCs w:val="24"/>
          <w:shd w:val="clear" w:color="auto" w:fill="FFFFFF"/>
          <w:lang w:val="en-GB"/>
        </w:rPr>
        <w:t>Miftari</w:t>
      </w:r>
      <w:proofErr w:type="spellEnd"/>
      <w:r w:rsidRPr="00EB60B4">
        <w:rPr>
          <w:rFonts w:ascii="Times New Roman" w:eastAsia="Calibri" w:hAnsi="Times New Roman" w:cs="Times New Roman"/>
          <w:color w:val="222222"/>
          <w:sz w:val="24"/>
          <w:szCs w:val="24"/>
          <w:shd w:val="clear" w:color="auto" w:fill="FFFFFF"/>
          <w:lang w:val="en-GB"/>
        </w:rPr>
        <w:t xml:space="preserve">, I., </w:t>
      </w:r>
      <w:proofErr w:type="spellStart"/>
      <w:r w:rsidRPr="00EB60B4">
        <w:rPr>
          <w:rFonts w:ascii="Times New Roman" w:eastAsia="Calibri" w:hAnsi="Times New Roman" w:cs="Times New Roman"/>
          <w:color w:val="222222"/>
          <w:sz w:val="24"/>
          <w:szCs w:val="24"/>
          <w:shd w:val="clear" w:color="auto" w:fill="FFFFFF"/>
          <w:lang w:val="en-GB"/>
        </w:rPr>
        <w:t>Cerjak</w:t>
      </w:r>
      <w:proofErr w:type="spellEnd"/>
      <w:r w:rsidRPr="00EB60B4">
        <w:rPr>
          <w:rFonts w:ascii="Times New Roman" w:eastAsia="Calibri" w:hAnsi="Times New Roman" w:cs="Times New Roman"/>
          <w:color w:val="222222"/>
          <w:sz w:val="24"/>
          <w:szCs w:val="24"/>
          <w:shd w:val="clear" w:color="auto" w:fill="FFFFFF"/>
          <w:lang w:val="en-GB"/>
        </w:rPr>
        <w:t xml:space="preserve">, M., </w:t>
      </w:r>
      <w:proofErr w:type="spellStart"/>
      <w:r w:rsidRPr="00EB60B4">
        <w:rPr>
          <w:rFonts w:ascii="Times New Roman" w:eastAsia="Calibri" w:hAnsi="Times New Roman" w:cs="Times New Roman"/>
          <w:color w:val="222222"/>
          <w:sz w:val="24"/>
          <w:szCs w:val="24"/>
          <w:shd w:val="clear" w:color="auto" w:fill="FFFFFF"/>
          <w:lang w:val="en-GB"/>
        </w:rPr>
        <w:t>Tomic</w:t>
      </w:r>
      <w:proofErr w:type="spellEnd"/>
      <w:r w:rsidRPr="00EB60B4">
        <w:rPr>
          <w:rFonts w:ascii="Times New Roman" w:eastAsia="Calibri" w:hAnsi="Times New Roman" w:cs="Times New Roman"/>
          <w:color w:val="222222"/>
          <w:sz w:val="24"/>
          <w:szCs w:val="24"/>
          <w:shd w:val="clear" w:color="auto" w:fill="FFFFFF"/>
          <w:lang w:val="en-GB"/>
        </w:rPr>
        <w:t xml:space="preserve"> </w:t>
      </w:r>
      <w:proofErr w:type="spellStart"/>
      <w:r w:rsidRPr="00EB60B4">
        <w:rPr>
          <w:rFonts w:ascii="Times New Roman" w:eastAsia="Calibri" w:hAnsi="Times New Roman" w:cs="Times New Roman"/>
          <w:color w:val="222222"/>
          <w:sz w:val="24"/>
          <w:szCs w:val="24"/>
          <w:shd w:val="clear" w:color="auto" w:fill="FFFFFF"/>
          <w:lang w:val="en-GB"/>
        </w:rPr>
        <w:t>Maksan</w:t>
      </w:r>
      <w:proofErr w:type="spellEnd"/>
      <w:r w:rsidRPr="00EB60B4">
        <w:rPr>
          <w:rFonts w:ascii="Times New Roman" w:eastAsia="Calibri" w:hAnsi="Times New Roman" w:cs="Times New Roman"/>
          <w:color w:val="222222"/>
          <w:sz w:val="24"/>
          <w:szCs w:val="24"/>
          <w:shd w:val="clear" w:color="auto" w:fill="FFFFFF"/>
          <w:lang w:val="en-GB"/>
        </w:rPr>
        <w:t xml:space="preserve">, M., Imami, D., &amp; </w:t>
      </w:r>
      <w:proofErr w:type="spellStart"/>
      <w:r w:rsidRPr="00EB60B4">
        <w:rPr>
          <w:rFonts w:ascii="Times New Roman" w:eastAsia="Calibri" w:hAnsi="Times New Roman" w:cs="Times New Roman"/>
          <w:color w:val="222222"/>
          <w:sz w:val="24"/>
          <w:szCs w:val="24"/>
          <w:shd w:val="clear" w:color="auto" w:fill="FFFFFF"/>
          <w:lang w:val="en-GB"/>
        </w:rPr>
        <w:t>Prenaj</w:t>
      </w:r>
      <w:proofErr w:type="spellEnd"/>
      <w:r w:rsidRPr="00EB60B4">
        <w:rPr>
          <w:rFonts w:ascii="Times New Roman" w:eastAsia="Calibri" w:hAnsi="Times New Roman" w:cs="Times New Roman"/>
          <w:color w:val="222222"/>
          <w:sz w:val="24"/>
          <w:szCs w:val="24"/>
          <w:shd w:val="clear" w:color="auto" w:fill="FFFFFF"/>
          <w:lang w:val="en-GB"/>
        </w:rPr>
        <w:t>, V. (2021). Consumer ethnocentrism and preference for domestic wine in times of COVID-19. </w:t>
      </w:r>
      <w:r w:rsidRPr="00EB60B4">
        <w:rPr>
          <w:rFonts w:ascii="Times New Roman" w:eastAsia="Calibri" w:hAnsi="Times New Roman" w:cs="Times New Roman"/>
          <w:i/>
          <w:iCs/>
          <w:color w:val="222222"/>
          <w:sz w:val="24"/>
          <w:szCs w:val="24"/>
          <w:shd w:val="clear" w:color="auto" w:fill="FFFFFF"/>
          <w:lang w:val="en-GB"/>
        </w:rPr>
        <w:t>Studies in Agricultural Economics</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123</w:t>
      </w:r>
      <w:r w:rsidRPr="00EB60B4">
        <w:rPr>
          <w:rFonts w:ascii="Times New Roman" w:eastAsia="Calibri" w:hAnsi="Times New Roman" w:cs="Times New Roman"/>
          <w:color w:val="222222"/>
          <w:sz w:val="24"/>
          <w:szCs w:val="24"/>
          <w:shd w:val="clear" w:color="auto" w:fill="FFFFFF"/>
          <w:lang w:val="en-GB"/>
        </w:rPr>
        <w:t>(3), 103-113.</w:t>
      </w:r>
    </w:p>
    <w:p w14:paraId="7A008858" w14:textId="77777777" w:rsidR="00EB60B4" w:rsidRPr="00EB60B4" w:rsidRDefault="00EB60B4" w:rsidP="00561FC0">
      <w:pPr>
        <w:spacing w:before="120" w:after="120" w:line="276" w:lineRule="auto"/>
        <w:ind w:left="720" w:hanging="720"/>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fldChar w:fldCharType="begin"/>
      </w:r>
      <w:r w:rsidRPr="00EB60B4">
        <w:rPr>
          <w:rFonts w:ascii="Times New Roman" w:eastAsia="Calibri" w:hAnsi="Times New Roman" w:cs="Times New Roman"/>
          <w:sz w:val="24"/>
          <w:szCs w:val="24"/>
          <w:lang w:val="en-GB"/>
        </w:rPr>
        <w:instrText xml:space="preserve"> BIBLIOGRAPHY  \l 1033 </w:instrText>
      </w:r>
      <w:r w:rsidRPr="00EB60B4">
        <w:rPr>
          <w:rFonts w:ascii="Times New Roman" w:eastAsia="Calibri" w:hAnsi="Times New Roman" w:cs="Times New Roman"/>
          <w:sz w:val="24"/>
          <w:szCs w:val="24"/>
          <w:lang w:val="en-GB"/>
        </w:rPr>
        <w:fldChar w:fldCharType="separate"/>
      </w:r>
      <w:r w:rsidRPr="00EB60B4">
        <w:rPr>
          <w:rFonts w:ascii="Times New Roman" w:eastAsia="Calibri" w:hAnsi="Times New Roman" w:cs="Times New Roman"/>
          <w:sz w:val="24"/>
          <w:szCs w:val="24"/>
          <w:lang w:val="en-GB"/>
        </w:rPr>
        <w:t xml:space="preserve">McHugh, M. L. (2013). The chi-square test of independence. </w:t>
      </w:r>
      <w:r w:rsidRPr="00EB60B4">
        <w:rPr>
          <w:rFonts w:ascii="Times New Roman" w:eastAsia="Calibri" w:hAnsi="Times New Roman" w:cs="Times New Roman"/>
          <w:i/>
          <w:iCs/>
          <w:sz w:val="24"/>
          <w:szCs w:val="24"/>
          <w:lang w:val="en-GB"/>
        </w:rPr>
        <w:t>Biochemia medica</w:t>
      </w:r>
      <w:r w:rsidRPr="00EB60B4">
        <w:rPr>
          <w:rFonts w:ascii="Times New Roman" w:eastAsia="Calibri" w:hAnsi="Times New Roman" w:cs="Times New Roman"/>
          <w:sz w:val="24"/>
          <w:szCs w:val="24"/>
          <w:lang w:val="en-GB"/>
        </w:rPr>
        <w:t>, 23(2), 143-149.</w:t>
      </w:r>
    </w:p>
    <w:p w14:paraId="017B9E18"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sz w:val="24"/>
          <w:szCs w:val="24"/>
          <w:lang w:val="en-GB"/>
        </w:rPr>
        <w:fldChar w:fldCharType="end"/>
      </w:r>
      <w:r w:rsidRPr="00EB60B4">
        <w:rPr>
          <w:rFonts w:ascii="Times New Roman" w:eastAsia="Calibri" w:hAnsi="Times New Roman" w:cs="Times New Roman"/>
          <w:color w:val="222222"/>
          <w:sz w:val="24"/>
          <w:szCs w:val="24"/>
          <w:shd w:val="clear" w:color="auto" w:fill="FFFFFF"/>
          <w:lang w:val="en-GB"/>
        </w:rPr>
        <w:t>Sang, N. C., &amp; Cheruiyot, J. K. (2020). Farmers’ information literacy and productivity performance of smallholder horticulture in a highland zone, Kenya. </w:t>
      </w:r>
      <w:r w:rsidRPr="00EB60B4">
        <w:rPr>
          <w:rFonts w:ascii="Times New Roman" w:eastAsia="Calibri" w:hAnsi="Times New Roman" w:cs="Times New Roman"/>
          <w:i/>
          <w:iCs/>
          <w:color w:val="222222"/>
          <w:sz w:val="24"/>
          <w:szCs w:val="24"/>
          <w:shd w:val="clear" w:color="auto" w:fill="FFFFFF"/>
          <w:lang w:val="en-GB"/>
        </w:rPr>
        <w:t>J Sci Res Rep</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26</w:t>
      </w:r>
      <w:r w:rsidRPr="00EB60B4">
        <w:rPr>
          <w:rFonts w:ascii="Times New Roman" w:eastAsia="Calibri" w:hAnsi="Times New Roman" w:cs="Times New Roman"/>
          <w:color w:val="222222"/>
          <w:sz w:val="24"/>
          <w:szCs w:val="24"/>
          <w:shd w:val="clear" w:color="auto" w:fill="FFFFFF"/>
          <w:lang w:val="en-GB"/>
        </w:rPr>
        <w:t>(6), 89-99.</w:t>
      </w:r>
    </w:p>
    <w:p w14:paraId="7E6CB796"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color w:val="222222"/>
          <w:sz w:val="24"/>
          <w:szCs w:val="24"/>
          <w:shd w:val="clear" w:color="auto" w:fill="FFFFFF"/>
          <w:lang w:val="en-GB"/>
        </w:rPr>
        <w:t xml:space="preserve">Sivakumar, S. D., Jawaharlal, M., </w:t>
      </w:r>
      <w:proofErr w:type="spellStart"/>
      <w:r w:rsidRPr="00EB60B4">
        <w:rPr>
          <w:rFonts w:ascii="Times New Roman" w:eastAsia="Calibri" w:hAnsi="Times New Roman" w:cs="Times New Roman"/>
          <w:color w:val="222222"/>
          <w:sz w:val="24"/>
          <w:szCs w:val="24"/>
          <w:shd w:val="clear" w:color="auto" w:fill="FFFFFF"/>
          <w:lang w:val="en-GB"/>
        </w:rPr>
        <w:t>Palanichamy</w:t>
      </w:r>
      <w:proofErr w:type="spellEnd"/>
      <w:r w:rsidRPr="00EB60B4">
        <w:rPr>
          <w:rFonts w:ascii="Times New Roman" w:eastAsia="Calibri" w:hAnsi="Times New Roman" w:cs="Times New Roman"/>
          <w:color w:val="222222"/>
          <w:sz w:val="24"/>
          <w:szCs w:val="24"/>
          <w:shd w:val="clear" w:color="auto" w:fill="FFFFFF"/>
          <w:lang w:val="en-GB"/>
        </w:rPr>
        <w:t xml:space="preserve">, N. V., &amp; </w:t>
      </w:r>
      <w:proofErr w:type="spellStart"/>
      <w:r w:rsidRPr="00EB60B4">
        <w:rPr>
          <w:rFonts w:ascii="Times New Roman" w:eastAsia="Calibri" w:hAnsi="Times New Roman" w:cs="Times New Roman"/>
          <w:color w:val="222222"/>
          <w:sz w:val="24"/>
          <w:szCs w:val="24"/>
          <w:shd w:val="clear" w:color="auto" w:fill="FFFFFF"/>
          <w:lang w:val="en-GB"/>
        </w:rPr>
        <w:t>Sureshkumar</w:t>
      </w:r>
      <w:proofErr w:type="spellEnd"/>
      <w:r w:rsidRPr="00EB60B4">
        <w:rPr>
          <w:rFonts w:ascii="Times New Roman" w:eastAsia="Calibri" w:hAnsi="Times New Roman" w:cs="Times New Roman"/>
          <w:color w:val="222222"/>
          <w:sz w:val="24"/>
          <w:szCs w:val="24"/>
          <w:shd w:val="clear" w:color="auto" w:fill="FFFFFF"/>
          <w:lang w:val="en-GB"/>
        </w:rPr>
        <w:t xml:space="preserve">, D. (2013). Assessment of farm financial literacy among jasmine growers in </w:t>
      </w:r>
      <w:proofErr w:type="spellStart"/>
      <w:r w:rsidRPr="00EB60B4">
        <w:rPr>
          <w:rFonts w:ascii="Times New Roman" w:eastAsia="Calibri" w:hAnsi="Times New Roman" w:cs="Times New Roman"/>
          <w:color w:val="222222"/>
          <w:sz w:val="24"/>
          <w:szCs w:val="24"/>
          <w:shd w:val="clear" w:color="auto" w:fill="FFFFFF"/>
          <w:lang w:val="en-GB"/>
        </w:rPr>
        <w:t>Tamilnadu</w:t>
      </w:r>
      <w:proofErr w:type="spellEnd"/>
      <w:r w:rsidRPr="00EB60B4">
        <w:rPr>
          <w:rFonts w:ascii="Times New Roman" w:eastAsia="Calibri" w:hAnsi="Times New Roman" w:cs="Times New Roman"/>
          <w:color w:val="222222"/>
          <w:sz w:val="24"/>
          <w:szCs w:val="24"/>
          <w:shd w:val="clear" w:color="auto" w:fill="FFFFFF"/>
          <w:lang w:val="en-GB"/>
        </w:rPr>
        <w:t>, India. </w:t>
      </w:r>
      <w:r w:rsidRPr="00EB60B4">
        <w:rPr>
          <w:rFonts w:ascii="Times New Roman" w:eastAsia="Calibri" w:hAnsi="Times New Roman" w:cs="Times New Roman"/>
          <w:i/>
          <w:iCs/>
          <w:color w:val="222222"/>
          <w:sz w:val="24"/>
          <w:szCs w:val="24"/>
          <w:shd w:val="clear" w:color="auto" w:fill="FFFFFF"/>
          <w:lang w:val="en-GB"/>
        </w:rPr>
        <w:t>Assessment</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3</w:t>
      </w:r>
      <w:r w:rsidRPr="00EB60B4">
        <w:rPr>
          <w:rFonts w:ascii="Times New Roman" w:eastAsia="Calibri" w:hAnsi="Times New Roman" w:cs="Times New Roman"/>
          <w:color w:val="222222"/>
          <w:sz w:val="24"/>
          <w:szCs w:val="24"/>
          <w:shd w:val="clear" w:color="auto" w:fill="FFFFFF"/>
          <w:lang w:val="en-GB"/>
        </w:rPr>
        <w:t>(13).</w:t>
      </w:r>
    </w:p>
    <w:p w14:paraId="2BCBF087" w14:textId="77777777" w:rsidR="00EB60B4" w:rsidRPr="00EB60B4" w:rsidRDefault="00EB60B4" w:rsidP="00561FC0">
      <w:pPr>
        <w:tabs>
          <w:tab w:val="left" w:pos="0"/>
        </w:tabs>
        <w:spacing w:before="120" w:after="120" w:line="276" w:lineRule="auto"/>
        <w:ind w:left="90"/>
        <w:jc w:val="both"/>
        <w:rPr>
          <w:rFonts w:ascii="Times New Roman" w:eastAsia="Calibri" w:hAnsi="Times New Roman" w:cs="Times New Roman"/>
          <w:sz w:val="24"/>
          <w:szCs w:val="24"/>
          <w:lang w:val="en-GB"/>
        </w:rPr>
      </w:pPr>
      <w:r w:rsidRPr="00EB60B4">
        <w:rPr>
          <w:rFonts w:ascii="Times New Roman" w:eastAsia="Calibri" w:hAnsi="Times New Roman" w:cs="Times New Roman"/>
          <w:sz w:val="24"/>
          <w:szCs w:val="24"/>
          <w:lang w:val="en-GB"/>
        </w:rPr>
        <w:t xml:space="preserve">Schober, P., Boer, C., &amp; </w:t>
      </w:r>
      <w:proofErr w:type="spellStart"/>
      <w:r w:rsidRPr="00EB60B4">
        <w:rPr>
          <w:rFonts w:ascii="Times New Roman" w:eastAsia="Calibri" w:hAnsi="Times New Roman" w:cs="Times New Roman"/>
          <w:sz w:val="24"/>
          <w:szCs w:val="24"/>
          <w:lang w:val="en-GB"/>
        </w:rPr>
        <w:t>Schwarte</w:t>
      </w:r>
      <w:proofErr w:type="spellEnd"/>
      <w:r w:rsidRPr="00EB60B4">
        <w:rPr>
          <w:rFonts w:ascii="Times New Roman" w:eastAsia="Calibri" w:hAnsi="Times New Roman" w:cs="Times New Roman"/>
          <w:sz w:val="24"/>
          <w:szCs w:val="24"/>
          <w:lang w:val="en-GB"/>
        </w:rPr>
        <w:t xml:space="preserve">, L. A. (2018). Correlation coefficients: appropriate use and interpretation. </w:t>
      </w:r>
      <w:proofErr w:type="spellStart"/>
      <w:r w:rsidRPr="00EB60B4">
        <w:rPr>
          <w:rFonts w:ascii="Times New Roman" w:eastAsia="Calibri" w:hAnsi="Times New Roman" w:cs="Times New Roman"/>
          <w:i/>
          <w:iCs/>
          <w:sz w:val="24"/>
          <w:szCs w:val="24"/>
          <w:lang w:val="en-GB"/>
        </w:rPr>
        <w:t>Anesthesia</w:t>
      </w:r>
      <w:proofErr w:type="spellEnd"/>
      <w:r w:rsidRPr="00EB60B4">
        <w:rPr>
          <w:rFonts w:ascii="Times New Roman" w:eastAsia="Calibri" w:hAnsi="Times New Roman" w:cs="Times New Roman"/>
          <w:i/>
          <w:iCs/>
          <w:sz w:val="24"/>
          <w:szCs w:val="24"/>
          <w:lang w:val="en-GB"/>
        </w:rPr>
        <w:t xml:space="preserve"> &amp; Analgesia</w:t>
      </w:r>
      <w:r w:rsidRPr="00EB60B4">
        <w:rPr>
          <w:rFonts w:ascii="Times New Roman" w:eastAsia="Calibri" w:hAnsi="Times New Roman" w:cs="Times New Roman"/>
          <w:sz w:val="24"/>
          <w:szCs w:val="24"/>
          <w:lang w:val="en-GB"/>
        </w:rPr>
        <w:t>, 126(5), 1763-1768.</w:t>
      </w:r>
    </w:p>
    <w:p w14:paraId="49D733CC"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color w:val="222222"/>
          <w:sz w:val="24"/>
          <w:szCs w:val="24"/>
          <w:shd w:val="clear" w:color="auto" w:fill="FFFFFF"/>
          <w:lang w:val="en-GB"/>
        </w:rPr>
        <w:t xml:space="preserve">Taft, M. K., </w:t>
      </w:r>
      <w:proofErr w:type="spellStart"/>
      <w:r w:rsidRPr="00EB60B4">
        <w:rPr>
          <w:rFonts w:ascii="Times New Roman" w:eastAsia="Calibri" w:hAnsi="Times New Roman" w:cs="Times New Roman"/>
          <w:color w:val="222222"/>
          <w:sz w:val="24"/>
          <w:szCs w:val="24"/>
          <w:shd w:val="clear" w:color="auto" w:fill="FFFFFF"/>
          <w:lang w:val="en-GB"/>
        </w:rPr>
        <w:t>Hosein</w:t>
      </w:r>
      <w:proofErr w:type="spellEnd"/>
      <w:r w:rsidRPr="00EB60B4">
        <w:rPr>
          <w:rFonts w:ascii="Times New Roman" w:eastAsia="Calibri" w:hAnsi="Times New Roman" w:cs="Times New Roman"/>
          <w:color w:val="222222"/>
          <w:sz w:val="24"/>
          <w:szCs w:val="24"/>
          <w:shd w:val="clear" w:color="auto" w:fill="FFFFFF"/>
          <w:lang w:val="en-GB"/>
        </w:rPr>
        <w:t xml:space="preserve">, Z. Z., </w:t>
      </w:r>
      <w:proofErr w:type="spellStart"/>
      <w:r w:rsidRPr="00EB60B4">
        <w:rPr>
          <w:rFonts w:ascii="Times New Roman" w:eastAsia="Calibri" w:hAnsi="Times New Roman" w:cs="Times New Roman"/>
          <w:color w:val="222222"/>
          <w:sz w:val="24"/>
          <w:szCs w:val="24"/>
          <w:shd w:val="clear" w:color="auto" w:fill="FFFFFF"/>
          <w:lang w:val="en-GB"/>
        </w:rPr>
        <w:t>Mehrizi</w:t>
      </w:r>
      <w:proofErr w:type="spellEnd"/>
      <w:r w:rsidRPr="00EB60B4">
        <w:rPr>
          <w:rFonts w:ascii="Times New Roman" w:eastAsia="Calibri" w:hAnsi="Times New Roman" w:cs="Times New Roman"/>
          <w:color w:val="222222"/>
          <w:sz w:val="24"/>
          <w:szCs w:val="24"/>
          <w:shd w:val="clear" w:color="auto" w:fill="FFFFFF"/>
          <w:lang w:val="en-GB"/>
        </w:rPr>
        <w:t>, S. M. T., &amp; Roshan, A. (2013). The relation between financial literacy, financial wellbeing and financial concerns. </w:t>
      </w:r>
      <w:r w:rsidRPr="00EB60B4">
        <w:rPr>
          <w:rFonts w:ascii="Times New Roman" w:eastAsia="Calibri" w:hAnsi="Times New Roman" w:cs="Times New Roman"/>
          <w:i/>
          <w:iCs/>
          <w:color w:val="222222"/>
          <w:sz w:val="24"/>
          <w:szCs w:val="24"/>
          <w:shd w:val="clear" w:color="auto" w:fill="FFFFFF"/>
          <w:lang w:val="en-GB"/>
        </w:rPr>
        <w:t>International journal of business and management</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8</w:t>
      </w:r>
      <w:r w:rsidRPr="00EB60B4">
        <w:rPr>
          <w:rFonts w:ascii="Times New Roman" w:eastAsia="Calibri" w:hAnsi="Times New Roman" w:cs="Times New Roman"/>
          <w:color w:val="222222"/>
          <w:sz w:val="24"/>
          <w:szCs w:val="24"/>
          <w:shd w:val="clear" w:color="auto" w:fill="FFFFFF"/>
          <w:lang w:val="en-GB"/>
        </w:rPr>
        <w:t>(11), 63</w:t>
      </w:r>
    </w:p>
    <w:p w14:paraId="5FEB0142"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proofErr w:type="spellStart"/>
      <w:r w:rsidRPr="00EB60B4">
        <w:rPr>
          <w:rFonts w:ascii="Times New Roman" w:eastAsia="Calibri" w:hAnsi="Times New Roman" w:cs="Times New Roman"/>
          <w:color w:val="222222"/>
          <w:sz w:val="24"/>
          <w:szCs w:val="24"/>
          <w:shd w:val="clear" w:color="auto" w:fill="FFFFFF"/>
          <w:lang w:val="en-GB"/>
        </w:rPr>
        <w:t>Widhiyanto</w:t>
      </w:r>
      <w:proofErr w:type="spellEnd"/>
      <w:r w:rsidRPr="00EB60B4">
        <w:rPr>
          <w:rFonts w:ascii="Times New Roman" w:eastAsia="Calibri" w:hAnsi="Times New Roman" w:cs="Times New Roman"/>
          <w:color w:val="222222"/>
          <w:sz w:val="24"/>
          <w:szCs w:val="24"/>
          <w:shd w:val="clear" w:color="auto" w:fill="FFFFFF"/>
          <w:lang w:val="en-GB"/>
        </w:rPr>
        <w:t xml:space="preserve">, I., </w:t>
      </w:r>
      <w:proofErr w:type="spellStart"/>
      <w:r w:rsidRPr="00EB60B4">
        <w:rPr>
          <w:rFonts w:ascii="Times New Roman" w:eastAsia="Calibri" w:hAnsi="Times New Roman" w:cs="Times New Roman"/>
          <w:color w:val="222222"/>
          <w:sz w:val="24"/>
          <w:szCs w:val="24"/>
          <w:shd w:val="clear" w:color="auto" w:fill="FFFFFF"/>
          <w:lang w:val="en-GB"/>
        </w:rPr>
        <w:t>Nuryartono</w:t>
      </w:r>
      <w:proofErr w:type="spellEnd"/>
      <w:r w:rsidRPr="00EB60B4">
        <w:rPr>
          <w:rFonts w:ascii="Times New Roman" w:eastAsia="Calibri" w:hAnsi="Times New Roman" w:cs="Times New Roman"/>
          <w:color w:val="222222"/>
          <w:sz w:val="24"/>
          <w:szCs w:val="24"/>
          <w:shd w:val="clear" w:color="auto" w:fill="FFFFFF"/>
          <w:lang w:val="en-GB"/>
        </w:rPr>
        <w:t xml:space="preserve">, N., </w:t>
      </w:r>
      <w:proofErr w:type="spellStart"/>
      <w:r w:rsidRPr="00EB60B4">
        <w:rPr>
          <w:rFonts w:ascii="Times New Roman" w:eastAsia="Calibri" w:hAnsi="Times New Roman" w:cs="Times New Roman"/>
          <w:color w:val="222222"/>
          <w:sz w:val="24"/>
          <w:szCs w:val="24"/>
          <w:shd w:val="clear" w:color="auto" w:fill="FFFFFF"/>
          <w:lang w:val="en-GB"/>
        </w:rPr>
        <w:t>Harianto</w:t>
      </w:r>
      <w:proofErr w:type="spellEnd"/>
      <w:r w:rsidRPr="00EB60B4">
        <w:rPr>
          <w:rFonts w:ascii="Times New Roman" w:eastAsia="Calibri" w:hAnsi="Times New Roman" w:cs="Times New Roman"/>
          <w:color w:val="222222"/>
          <w:sz w:val="24"/>
          <w:szCs w:val="24"/>
          <w:shd w:val="clear" w:color="auto" w:fill="FFFFFF"/>
          <w:lang w:val="en-GB"/>
        </w:rPr>
        <w:t xml:space="preserve">, H., &amp; </w:t>
      </w:r>
      <w:proofErr w:type="spellStart"/>
      <w:r w:rsidRPr="00EB60B4">
        <w:rPr>
          <w:rFonts w:ascii="Times New Roman" w:eastAsia="Calibri" w:hAnsi="Times New Roman" w:cs="Times New Roman"/>
          <w:color w:val="222222"/>
          <w:sz w:val="24"/>
          <w:szCs w:val="24"/>
          <w:shd w:val="clear" w:color="auto" w:fill="FFFFFF"/>
          <w:lang w:val="en-GB"/>
        </w:rPr>
        <w:t>Siregar</w:t>
      </w:r>
      <w:proofErr w:type="spellEnd"/>
      <w:r w:rsidRPr="00EB60B4">
        <w:rPr>
          <w:rFonts w:ascii="Times New Roman" w:eastAsia="Calibri" w:hAnsi="Times New Roman" w:cs="Times New Roman"/>
          <w:color w:val="222222"/>
          <w:sz w:val="24"/>
          <w:szCs w:val="24"/>
          <w:shd w:val="clear" w:color="auto" w:fill="FFFFFF"/>
          <w:lang w:val="en-GB"/>
        </w:rPr>
        <w:t>, H. (2018). The analysis of farmers’ financial literacy and its’ impact on microcredit accessibility with interest subsidy on agricultural sector. </w:t>
      </w:r>
      <w:r w:rsidRPr="00EB60B4">
        <w:rPr>
          <w:rFonts w:ascii="Times New Roman" w:eastAsia="Calibri" w:hAnsi="Times New Roman" w:cs="Times New Roman"/>
          <w:i/>
          <w:iCs/>
          <w:color w:val="222222"/>
          <w:sz w:val="24"/>
          <w:szCs w:val="24"/>
          <w:shd w:val="clear" w:color="auto" w:fill="FFFFFF"/>
          <w:lang w:val="en-GB"/>
        </w:rPr>
        <w:t>International Journal of Economics and Financial Issues</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8</w:t>
      </w:r>
      <w:r w:rsidRPr="00EB60B4">
        <w:rPr>
          <w:rFonts w:ascii="Times New Roman" w:eastAsia="Calibri" w:hAnsi="Times New Roman" w:cs="Times New Roman"/>
          <w:color w:val="222222"/>
          <w:sz w:val="24"/>
          <w:szCs w:val="24"/>
          <w:shd w:val="clear" w:color="auto" w:fill="FFFFFF"/>
          <w:lang w:val="en-GB"/>
        </w:rPr>
        <w:t>(3), 148.</w:t>
      </w:r>
    </w:p>
    <w:p w14:paraId="559C2D3F"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color w:val="222222"/>
          <w:sz w:val="24"/>
          <w:szCs w:val="24"/>
          <w:shd w:val="clear" w:color="auto" w:fill="FFFFFF"/>
          <w:lang w:val="en-GB"/>
        </w:rPr>
        <w:t xml:space="preserve">Xhoxhi, O., &amp; Imami, D. (2021). It is not just about power, but about the type of power-relational governance in the context of a </w:t>
      </w:r>
      <w:proofErr w:type="spellStart"/>
      <w:r w:rsidRPr="00EB60B4">
        <w:rPr>
          <w:rFonts w:ascii="Times New Roman" w:eastAsia="Calibri" w:hAnsi="Times New Roman" w:cs="Times New Roman"/>
          <w:color w:val="222222"/>
          <w:sz w:val="24"/>
          <w:szCs w:val="24"/>
          <w:shd w:val="clear" w:color="auto" w:fill="FFFFFF"/>
          <w:lang w:val="en-GB"/>
        </w:rPr>
        <w:t>transiton</w:t>
      </w:r>
      <w:proofErr w:type="spellEnd"/>
      <w:r w:rsidRPr="00EB60B4">
        <w:rPr>
          <w:rFonts w:ascii="Times New Roman" w:eastAsia="Calibri" w:hAnsi="Times New Roman" w:cs="Times New Roman"/>
          <w:color w:val="222222"/>
          <w:sz w:val="24"/>
          <w:szCs w:val="24"/>
          <w:shd w:val="clear" w:color="auto" w:fill="FFFFFF"/>
          <w:lang w:val="en-GB"/>
        </w:rPr>
        <w:t xml:space="preserve"> economy. </w:t>
      </w:r>
      <w:r w:rsidRPr="00EB60B4">
        <w:rPr>
          <w:rFonts w:ascii="Times New Roman" w:eastAsia="Calibri" w:hAnsi="Times New Roman" w:cs="Times New Roman"/>
          <w:i/>
          <w:iCs/>
          <w:color w:val="222222"/>
          <w:sz w:val="24"/>
          <w:szCs w:val="24"/>
          <w:shd w:val="clear" w:color="auto" w:fill="FFFFFF"/>
          <w:lang w:val="en-GB"/>
        </w:rPr>
        <w:t>Proceedings in Food System Dynamics</w:t>
      </w:r>
      <w:r w:rsidRPr="00EB60B4">
        <w:rPr>
          <w:rFonts w:ascii="Times New Roman" w:eastAsia="Calibri" w:hAnsi="Times New Roman" w:cs="Times New Roman"/>
          <w:color w:val="222222"/>
          <w:sz w:val="24"/>
          <w:szCs w:val="24"/>
          <w:shd w:val="clear" w:color="auto" w:fill="FFFFFF"/>
          <w:lang w:val="en-GB"/>
        </w:rPr>
        <w:t>, 26-34.</w:t>
      </w:r>
    </w:p>
    <w:p w14:paraId="6380B5C8"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color w:val="222222"/>
          <w:sz w:val="24"/>
          <w:szCs w:val="24"/>
          <w:shd w:val="clear" w:color="auto" w:fill="FFFFFF"/>
          <w:lang w:val="en-GB"/>
        </w:rPr>
        <w:t xml:space="preserve">Yildirim, M. M., &amp; </w:t>
      </w:r>
      <w:proofErr w:type="spellStart"/>
      <w:r w:rsidRPr="00EB60B4">
        <w:rPr>
          <w:rFonts w:ascii="Times New Roman" w:eastAsia="Calibri" w:hAnsi="Times New Roman" w:cs="Times New Roman"/>
          <w:color w:val="222222"/>
          <w:sz w:val="24"/>
          <w:szCs w:val="24"/>
          <w:shd w:val="clear" w:color="auto" w:fill="FFFFFF"/>
          <w:lang w:val="en-GB"/>
        </w:rPr>
        <w:t>Vardari</w:t>
      </w:r>
      <w:proofErr w:type="spellEnd"/>
      <w:r w:rsidRPr="00EB60B4">
        <w:rPr>
          <w:rFonts w:ascii="Times New Roman" w:eastAsia="Calibri" w:hAnsi="Times New Roman" w:cs="Times New Roman"/>
          <w:color w:val="222222"/>
          <w:sz w:val="24"/>
          <w:szCs w:val="24"/>
          <w:shd w:val="clear" w:color="auto" w:fill="FFFFFF"/>
          <w:lang w:val="en-GB"/>
        </w:rPr>
        <w:t xml:space="preserve">, L. (2020). Mathematical and financial literacy: A research with </w:t>
      </w:r>
      <w:proofErr w:type="spellStart"/>
      <w:r w:rsidRPr="00EB60B4">
        <w:rPr>
          <w:rFonts w:ascii="Times New Roman" w:eastAsia="Calibri" w:hAnsi="Times New Roman" w:cs="Times New Roman"/>
          <w:color w:val="222222"/>
          <w:sz w:val="24"/>
          <w:szCs w:val="24"/>
          <w:shd w:val="clear" w:color="auto" w:fill="FFFFFF"/>
          <w:lang w:val="en-GB"/>
        </w:rPr>
        <w:t>prizren</w:t>
      </w:r>
      <w:proofErr w:type="spellEnd"/>
      <w:r w:rsidRPr="00EB60B4">
        <w:rPr>
          <w:rFonts w:ascii="Times New Roman" w:eastAsia="Calibri" w:hAnsi="Times New Roman" w:cs="Times New Roman"/>
          <w:color w:val="222222"/>
          <w:sz w:val="24"/>
          <w:szCs w:val="24"/>
          <w:shd w:val="clear" w:color="auto" w:fill="FFFFFF"/>
          <w:lang w:val="en-GB"/>
        </w:rPr>
        <w:t xml:space="preserve"> University students. </w:t>
      </w:r>
      <w:r w:rsidRPr="00EB60B4">
        <w:rPr>
          <w:rFonts w:ascii="Times New Roman" w:eastAsia="Calibri" w:hAnsi="Times New Roman" w:cs="Times New Roman"/>
          <w:i/>
          <w:iCs/>
          <w:color w:val="222222"/>
          <w:sz w:val="24"/>
          <w:szCs w:val="24"/>
          <w:shd w:val="clear" w:color="auto" w:fill="FFFFFF"/>
          <w:lang w:val="en-GB"/>
        </w:rPr>
        <w:t>Cypriot Journal of Educational Sciences</w:t>
      </w:r>
      <w:r w:rsidRPr="00EB60B4">
        <w:rPr>
          <w:rFonts w:ascii="Times New Roman" w:eastAsia="Calibri" w:hAnsi="Times New Roman" w:cs="Times New Roman"/>
          <w:color w:val="222222"/>
          <w:sz w:val="24"/>
          <w:szCs w:val="24"/>
          <w:shd w:val="clear" w:color="auto" w:fill="FFFFFF"/>
          <w:lang w:val="en-GB"/>
        </w:rPr>
        <w:t>, </w:t>
      </w:r>
      <w:r w:rsidRPr="00EB60B4">
        <w:rPr>
          <w:rFonts w:ascii="Times New Roman" w:eastAsia="Calibri" w:hAnsi="Times New Roman" w:cs="Times New Roman"/>
          <w:i/>
          <w:iCs/>
          <w:color w:val="222222"/>
          <w:sz w:val="24"/>
          <w:szCs w:val="24"/>
          <w:shd w:val="clear" w:color="auto" w:fill="FFFFFF"/>
          <w:lang w:val="en-GB"/>
        </w:rPr>
        <w:t>15</w:t>
      </w:r>
      <w:r w:rsidRPr="00EB60B4">
        <w:rPr>
          <w:rFonts w:ascii="Times New Roman" w:eastAsia="Calibri" w:hAnsi="Times New Roman" w:cs="Times New Roman"/>
          <w:color w:val="222222"/>
          <w:sz w:val="24"/>
          <w:szCs w:val="24"/>
          <w:shd w:val="clear" w:color="auto" w:fill="FFFFFF"/>
          <w:lang w:val="en-GB"/>
        </w:rPr>
        <w:t>(6), 1574-1586.</w:t>
      </w:r>
    </w:p>
    <w:p w14:paraId="5BCAA913" w14:textId="77777777" w:rsidR="00EB60B4" w:rsidRPr="00EB60B4" w:rsidRDefault="00EB60B4" w:rsidP="00561FC0">
      <w:pPr>
        <w:spacing w:before="120" w:after="120" w:line="276" w:lineRule="auto"/>
        <w:jc w:val="both"/>
        <w:rPr>
          <w:rFonts w:ascii="Times New Roman" w:eastAsia="Calibri" w:hAnsi="Times New Roman" w:cs="Times New Roman"/>
          <w:color w:val="222222"/>
          <w:sz w:val="24"/>
          <w:szCs w:val="24"/>
          <w:shd w:val="clear" w:color="auto" w:fill="FFFFFF"/>
          <w:lang w:val="en-GB"/>
        </w:rPr>
      </w:pPr>
      <w:proofErr w:type="spellStart"/>
      <w:r w:rsidRPr="00EB60B4">
        <w:rPr>
          <w:rFonts w:ascii="Times New Roman" w:eastAsia="Calibri" w:hAnsi="Times New Roman" w:cs="Times New Roman"/>
          <w:color w:val="222222"/>
          <w:sz w:val="24"/>
          <w:szCs w:val="24"/>
          <w:shd w:val="clear" w:color="auto" w:fill="FFFFFF"/>
          <w:lang w:val="en-GB"/>
        </w:rPr>
        <w:t>Zeqiri</w:t>
      </w:r>
      <w:proofErr w:type="spellEnd"/>
      <w:r w:rsidRPr="00EB60B4">
        <w:rPr>
          <w:rFonts w:ascii="Times New Roman" w:eastAsia="Calibri" w:hAnsi="Times New Roman" w:cs="Times New Roman"/>
          <w:color w:val="222222"/>
          <w:sz w:val="24"/>
          <w:szCs w:val="24"/>
          <w:shd w:val="clear" w:color="auto" w:fill="FFFFFF"/>
          <w:lang w:val="en-GB"/>
        </w:rPr>
        <w:t xml:space="preserve">, M., E. Shahu, Y. </w:t>
      </w:r>
      <w:proofErr w:type="spellStart"/>
      <w:r w:rsidRPr="00EB60B4">
        <w:rPr>
          <w:rFonts w:ascii="Times New Roman" w:eastAsia="Calibri" w:hAnsi="Times New Roman" w:cs="Times New Roman"/>
          <w:color w:val="222222"/>
          <w:sz w:val="24"/>
          <w:szCs w:val="24"/>
          <w:shd w:val="clear" w:color="auto" w:fill="FFFFFF"/>
          <w:lang w:val="en-GB"/>
        </w:rPr>
        <w:t>Bicoku</w:t>
      </w:r>
      <w:proofErr w:type="spellEnd"/>
      <w:r w:rsidRPr="00EB60B4">
        <w:rPr>
          <w:rFonts w:ascii="Times New Roman" w:eastAsia="Calibri" w:hAnsi="Times New Roman" w:cs="Times New Roman"/>
          <w:color w:val="222222"/>
          <w:sz w:val="24"/>
          <w:szCs w:val="24"/>
          <w:shd w:val="clear" w:color="auto" w:fill="FFFFFF"/>
          <w:lang w:val="en-GB"/>
        </w:rPr>
        <w:t>, and E. Pire. "Education level of dairy farmers in Kosovo." </w:t>
      </w:r>
      <w:proofErr w:type="spellStart"/>
      <w:r w:rsidRPr="00EB60B4">
        <w:rPr>
          <w:rFonts w:ascii="Times New Roman" w:eastAsia="Calibri" w:hAnsi="Times New Roman" w:cs="Times New Roman"/>
          <w:i/>
          <w:iCs/>
          <w:color w:val="222222"/>
          <w:sz w:val="24"/>
          <w:szCs w:val="24"/>
          <w:shd w:val="clear" w:color="auto" w:fill="FFFFFF"/>
          <w:lang w:val="en-GB"/>
        </w:rPr>
        <w:t>Stočarstvo</w:t>
      </w:r>
      <w:proofErr w:type="spellEnd"/>
      <w:r w:rsidRPr="00EB60B4">
        <w:rPr>
          <w:rFonts w:ascii="Times New Roman" w:eastAsia="Calibri" w:hAnsi="Times New Roman" w:cs="Times New Roman"/>
          <w:i/>
          <w:iCs/>
          <w:color w:val="222222"/>
          <w:sz w:val="24"/>
          <w:szCs w:val="24"/>
          <w:shd w:val="clear" w:color="auto" w:fill="FFFFFF"/>
          <w:lang w:val="en-GB"/>
        </w:rPr>
        <w:t xml:space="preserve">: </w:t>
      </w:r>
      <w:proofErr w:type="spellStart"/>
      <w:r w:rsidRPr="00EB60B4">
        <w:rPr>
          <w:rFonts w:ascii="Times New Roman" w:eastAsia="Calibri" w:hAnsi="Times New Roman" w:cs="Times New Roman"/>
          <w:i/>
          <w:iCs/>
          <w:color w:val="222222"/>
          <w:sz w:val="24"/>
          <w:szCs w:val="24"/>
          <w:shd w:val="clear" w:color="auto" w:fill="FFFFFF"/>
          <w:lang w:val="en-GB"/>
        </w:rPr>
        <w:t>Časopis</w:t>
      </w:r>
      <w:proofErr w:type="spellEnd"/>
      <w:r w:rsidRPr="00EB60B4">
        <w:rPr>
          <w:rFonts w:ascii="Times New Roman" w:eastAsia="Calibri" w:hAnsi="Times New Roman" w:cs="Times New Roman"/>
          <w:i/>
          <w:iCs/>
          <w:color w:val="222222"/>
          <w:sz w:val="24"/>
          <w:szCs w:val="24"/>
          <w:shd w:val="clear" w:color="auto" w:fill="FFFFFF"/>
          <w:lang w:val="en-GB"/>
        </w:rPr>
        <w:t xml:space="preserve"> za </w:t>
      </w:r>
      <w:proofErr w:type="spellStart"/>
      <w:r w:rsidRPr="00EB60B4">
        <w:rPr>
          <w:rFonts w:ascii="Times New Roman" w:eastAsia="Calibri" w:hAnsi="Times New Roman" w:cs="Times New Roman"/>
          <w:i/>
          <w:iCs/>
          <w:color w:val="222222"/>
          <w:sz w:val="24"/>
          <w:szCs w:val="24"/>
          <w:shd w:val="clear" w:color="auto" w:fill="FFFFFF"/>
          <w:lang w:val="en-GB"/>
        </w:rPr>
        <w:t>unapređenje</w:t>
      </w:r>
      <w:proofErr w:type="spellEnd"/>
      <w:r w:rsidRPr="00EB60B4">
        <w:rPr>
          <w:rFonts w:ascii="Times New Roman" w:eastAsia="Calibri" w:hAnsi="Times New Roman" w:cs="Times New Roman"/>
          <w:i/>
          <w:iCs/>
          <w:color w:val="222222"/>
          <w:sz w:val="24"/>
          <w:szCs w:val="24"/>
          <w:shd w:val="clear" w:color="auto" w:fill="FFFFFF"/>
          <w:lang w:val="en-GB"/>
        </w:rPr>
        <w:t xml:space="preserve"> </w:t>
      </w:r>
      <w:proofErr w:type="spellStart"/>
      <w:r w:rsidRPr="00EB60B4">
        <w:rPr>
          <w:rFonts w:ascii="Times New Roman" w:eastAsia="Calibri" w:hAnsi="Times New Roman" w:cs="Times New Roman"/>
          <w:i/>
          <w:iCs/>
          <w:color w:val="222222"/>
          <w:sz w:val="24"/>
          <w:szCs w:val="24"/>
          <w:shd w:val="clear" w:color="auto" w:fill="FFFFFF"/>
          <w:lang w:val="en-GB"/>
        </w:rPr>
        <w:t>stočarstva</w:t>
      </w:r>
      <w:proofErr w:type="spellEnd"/>
      <w:r w:rsidRPr="00EB60B4">
        <w:rPr>
          <w:rFonts w:ascii="Times New Roman" w:eastAsia="Calibri" w:hAnsi="Times New Roman" w:cs="Times New Roman"/>
          <w:color w:val="222222"/>
          <w:sz w:val="24"/>
          <w:szCs w:val="24"/>
          <w:shd w:val="clear" w:color="auto" w:fill="FFFFFF"/>
          <w:lang w:val="en-GB"/>
        </w:rPr>
        <w:t> 70, no. 2 (2016): 51-60.</w:t>
      </w:r>
    </w:p>
    <w:p w14:paraId="411ABBAF" w14:textId="0F5B9CAE" w:rsidR="0076715E" w:rsidRDefault="00EB60B4" w:rsidP="00561FC0">
      <w:pPr>
        <w:tabs>
          <w:tab w:val="left" w:pos="90"/>
        </w:tabs>
        <w:spacing w:before="120" w:after="120" w:line="276" w:lineRule="auto"/>
        <w:jc w:val="both"/>
        <w:rPr>
          <w:rFonts w:ascii="Times New Roman" w:eastAsia="Calibri" w:hAnsi="Times New Roman" w:cs="Times New Roman"/>
          <w:color w:val="222222"/>
          <w:sz w:val="24"/>
          <w:szCs w:val="24"/>
          <w:shd w:val="clear" w:color="auto" w:fill="FFFFFF"/>
          <w:lang w:val="en-GB"/>
        </w:rPr>
      </w:pPr>
      <w:r w:rsidRPr="00EB60B4">
        <w:rPr>
          <w:rFonts w:ascii="Times New Roman" w:eastAsia="Calibri" w:hAnsi="Times New Roman" w:cs="Times New Roman"/>
          <w:color w:val="222222"/>
          <w:sz w:val="24"/>
          <w:szCs w:val="24"/>
          <w:shd w:val="clear" w:color="auto" w:fill="FFFFFF"/>
          <w:lang w:val="en-GB"/>
        </w:rPr>
        <w:t xml:space="preserve">Zhllima, E., D. Imami, N. </w:t>
      </w:r>
      <w:proofErr w:type="spellStart"/>
      <w:r w:rsidRPr="00EB60B4">
        <w:rPr>
          <w:rFonts w:ascii="Times New Roman" w:eastAsia="Calibri" w:hAnsi="Times New Roman" w:cs="Times New Roman"/>
          <w:color w:val="222222"/>
          <w:sz w:val="24"/>
          <w:szCs w:val="24"/>
          <w:shd w:val="clear" w:color="auto" w:fill="FFFFFF"/>
          <w:lang w:val="en-GB"/>
        </w:rPr>
        <w:t>Bytyqi</w:t>
      </w:r>
      <w:proofErr w:type="spellEnd"/>
      <w:r w:rsidRPr="00EB60B4">
        <w:rPr>
          <w:rFonts w:ascii="Times New Roman" w:eastAsia="Calibri" w:hAnsi="Times New Roman" w:cs="Times New Roman"/>
          <w:color w:val="222222"/>
          <w:sz w:val="24"/>
          <w:szCs w:val="24"/>
          <w:shd w:val="clear" w:color="auto" w:fill="FFFFFF"/>
          <w:lang w:val="en-GB"/>
        </w:rPr>
        <w:t xml:space="preserve">, M. </w:t>
      </w:r>
      <w:proofErr w:type="spellStart"/>
      <w:r w:rsidRPr="00EB60B4">
        <w:rPr>
          <w:rFonts w:ascii="Times New Roman" w:eastAsia="Calibri" w:hAnsi="Times New Roman" w:cs="Times New Roman"/>
          <w:color w:val="222222"/>
          <w:sz w:val="24"/>
          <w:szCs w:val="24"/>
          <w:shd w:val="clear" w:color="auto" w:fill="FFFFFF"/>
          <w:lang w:val="en-GB"/>
        </w:rPr>
        <w:t>Canavari</w:t>
      </w:r>
      <w:proofErr w:type="spellEnd"/>
      <w:r w:rsidRPr="00EB60B4">
        <w:rPr>
          <w:rFonts w:ascii="Times New Roman" w:eastAsia="Calibri" w:hAnsi="Times New Roman" w:cs="Times New Roman"/>
          <w:color w:val="222222"/>
          <w:sz w:val="24"/>
          <w:szCs w:val="24"/>
          <w:shd w:val="clear" w:color="auto" w:fill="FFFFFF"/>
          <w:lang w:val="en-GB"/>
        </w:rPr>
        <w:t xml:space="preserve">, E. </w:t>
      </w:r>
      <w:proofErr w:type="spellStart"/>
      <w:r w:rsidRPr="00EB60B4">
        <w:rPr>
          <w:rFonts w:ascii="Times New Roman" w:eastAsia="Calibri" w:hAnsi="Times New Roman" w:cs="Times New Roman"/>
          <w:color w:val="222222"/>
          <w:sz w:val="24"/>
          <w:szCs w:val="24"/>
          <w:shd w:val="clear" w:color="auto" w:fill="FFFFFF"/>
          <w:lang w:val="en-GB"/>
        </w:rPr>
        <w:t>Merkaj</w:t>
      </w:r>
      <w:proofErr w:type="spellEnd"/>
      <w:r w:rsidRPr="00EB60B4">
        <w:rPr>
          <w:rFonts w:ascii="Times New Roman" w:eastAsia="Calibri" w:hAnsi="Times New Roman" w:cs="Times New Roman"/>
          <w:color w:val="222222"/>
          <w:sz w:val="24"/>
          <w:szCs w:val="24"/>
          <w:shd w:val="clear" w:color="auto" w:fill="FFFFFF"/>
          <w:lang w:val="en-GB"/>
        </w:rPr>
        <w:t xml:space="preserve"> and C. Chan. 2020. Emerging Consumer Preference for Wine Attributes in a European Transition Country–the Case of Kosovo. </w:t>
      </w:r>
      <w:r w:rsidRPr="00EB60B4">
        <w:rPr>
          <w:rFonts w:ascii="Times New Roman" w:eastAsia="Calibri" w:hAnsi="Times New Roman" w:cs="Times New Roman"/>
          <w:i/>
          <w:iCs/>
          <w:color w:val="222222"/>
          <w:sz w:val="24"/>
          <w:szCs w:val="24"/>
          <w:shd w:val="clear" w:color="auto" w:fill="FFFFFF"/>
          <w:lang w:val="en-GB"/>
        </w:rPr>
        <w:t>Wine Economics and Policy</w:t>
      </w:r>
      <w:r w:rsidRPr="00EB60B4">
        <w:rPr>
          <w:rFonts w:ascii="Times New Roman" w:eastAsia="Calibri" w:hAnsi="Times New Roman" w:cs="Times New Roman"/>
          <w:color w:val="222222"/>
          <w:sz w:val="24"/>
          <w:szCs w:val="24"/>
          <w:shd w:val="clear" w:color="auto" w:fill="FFFFFF"/>
          <w:lang w:val="en-GB"/>
        </w:rPr>
        <w:t xml:space="preserve"> </w:t>
      </w:r>
      <w:r w:rsidRPr="00EB60B4">
        <w:rPr>
          <w:rFonts w:ascii="Times New Roman" w:eastAsia="Calibri" w:hAnsi="Times New Roman" w:cs="Times New Roman"/>
          <w:i/>
          <w:iCs/>
          <w:color w:val="222222"/>
          <w:sz w:val="24"/>
          <w:szCs w:val="24"/>
          <w:shd w:val="clear" w:color="auto" w:fill="FFFFFF"/>
          <w:lang w:val="en-GB"/>
        </w:rPr>
        <w:t>9</w:t>
      </w:r>
      <w:r w:rsidRPr="00EB60B4">
        <w:rPr>
          <w:rFonts w:ascii="Times New Roman" w:eastAsia="Calibri" w:hAnsi="Times New Roman" w:cs="Times New Roman"/>
          <w:color w:val="222222"/>
          <w:sz w:val="24"/>
          <w:szCs w:val="24"/>
          <w:shd w:val="clear" w:color="auto" w:fill="FFFFFF"/>
          <w:lang w:val="en-GB"/>
        </w:rPr>
        <w:t>(1): 63-72.</w:t>
      </w:r>
    </w:p>
    <w:p w14:paraId="489673F6" w14:textId="7C6EBABE" w:rsidR="00227B62" w:rsidRDefault="00227B62" w:rsidP="00561FC0">
      <w:pPr>
        <w:spacing w:before="60" w:after="60" w:line="276" w:lineRule="auto"/>
        <w:jc w:val="both"/>
        <w:rPr>
          <w:rFonts w:ascii="Times New Roman" w:eastAsia="Calibri" w:hAnsi="Times New Roman" w:cs="Times New Roman"/>
          <w:color w:val="222222"/>
          <w:sz w:val="24"/>
          <w:szCs w:val="24"/>
          <w:shd w:val="clear" w:color="auto" w:fill="FFFFFF"/>
          <w:lang w:val="en-GB"/>
        </w:rPr>
      </w:pPr>
      <w:r>
        <w:rPr>
          <w:rFonts w:ascii="Times New Roman" w:eastAsia="Calibri" w:hAnsi="Times New Roman" w:cs="Times New Roman"/>
          <w:color w:val="222222"/>
          <w:sz w:val="24"/>
          <w:szCs w:val="24"/>
          <w:shd w:val="clear" w:color="auto" w:fill="FFFFFF"/>
          <w:lang w:val="en-GB"/>
        </w:rPr>
        <w:br w:type="page"/>
      </w:r>
    </w:p>
    <w:p w14:paraId="2D8E09A0" w14:textId="49EAFEFD" w:rsidR="00227B62" w:rsidRPr="00C7410A" w:rsidRDefault="00227B62" w:rsidP="00227B62">
      <w:pPr>
        <w:spacing w:before="240" w:after="60" w:line="240" w:lineRule="auto"/>
        <w:jc w:val="center"/>
        <w:outlineLvl w:val="0"/>
        <w:rPr>
          <w:rFonts w:ascii="Times New Roman" w:eastAsia="Times New Roman" w:hAnsi="Times New Roman" w:cs="Times New Roman"/>
          <w:b/>
          <w:bCs/>
          <w:kern w:val="28"/>
          <w:sz w:val="28"/>
          <w:szCs w:val="28"/>
          <w:lang w:val="en-GB"/>
        </w:rPr>
      </w:pPr>
      <w:r w:rsidRPr="00C7410A">
        <w:rPr>
          <w:rFonts w:ascii="Times New Roman" w:eastAsia="Times New Roman" w:hAnsi="Times New Roman" w:cs="Times New Roman"/>
          <w:b/>
          <w:bCs/>
          <w:kern w:val="28"/>
          <w:sz w:val="28"/>
          <w:szCs w:val="28"/>
          <w:lang w:val="en-GB"/>
        </w:rPr>
        <w:lastRenderedPageBreak/>
        <w:t>“</w:t>
      </w:r>
      <w:r w:rsidRPr="00227B62">
        <w:rPr>
          <w:rFonts w:ascii="Times New Roman" w:eastAsia="Times New Roman" w:hAnsi="Times New Roman" w:cs="Times New Roman"/>
          <w:b/>
          <w:bCs/>
          <w:kern w:val="28"/>
          <w:sz w:val="28"/>
          <w:szCs w:val="28"/>
          <w:lang w:val="en-GB"/>
        </w:rPr>
        <w:t>Impact assessment of subsidy schemes with machine learning – the case of the greenhouse sector in Albania</w:t>
      </w:r>
      <w:r w:rsidRPr="00C7410A">
        <w:rPr>
          <w:rFonts w:ascii="Times New Roman" w:eastAsia="Times New Roman" w:hAnsi="Times New Roman" w:cs="Times New Roman"/>
          <w:b/>
          <w:bCs/>
          <w:kern w:val="28"/>
          <w:sz w:val="28"/>
          <w:szCs w:val="28"/>
          <w:lang w:val="en-GB"/>
        </w:rPr>
        <w:t>”</w:t>
      </w:r>
    </w:p>
    <w:p w14:paraId="3D140F39" w14:textId="77777777" w:rsidR="00227B62" w:rsidRPr="00C7410A" w:rsidRDefault="00227B62" w:rsidP="00227B62">
      <w:pPr>
        <w:spacing w:after="120" w:line="240" w:lineRule="auto"/>
        <w:rPr>
          <w:rFonts w:ascii="Times New Roman" w:eastAsia="Times New Roman" w:hAnsi="Times New Roman" w:cs="Times New Roman"/>
          <w:b/>
          <w:color w:val="000000"/>
          <w:sz w:val="24"/>
          <w:szCs w:val="24"/>
          <w:highlight w:val="white"/>
          <w:lang w:val="en-GB"/>
        </w:rPr>
      </w:pPr>
    </w:p>
    <w:p w14:paraId="4598DE37" w14:textId="77777777" w:rsidR="00227B62" w:rsidRPr="00C7410A" w:rsidRDefault="00227B62" w:rsidP="00561FC0">
      <w:pPr>
        <w:spacing w:after="0" w:line="240" w:lineRule="auto"/>
        <w:rPr>
          <w:rFonts w:ascii="Times New Roman" w:eastAsia="Times New Roman" w:hAnsi="Times New Roman" w:cs="Times New Roman"/>
          <w:b/>
          <w:color w:val="000000"/>
          <w:sz w:val="24"/>
          <w:szCs w:val="24"/>
          <w:highlight w:val="white"/>
          <w:lang w:val="en-GB"/>
        </w:rPr>
      </w:pPr>
    </w:p>
    <w:p w14:paraId="0152F1C9" w14:textId="77777777" w:rsidR="00227B62" w:rsidRPr="00F0288D" w:rsidRDefault="00227B62" w:rsidP="00561FC0">
      <w:pPr>
        <w:spacing w:after="0" w:line="240" w:lineRule="auto"/>
        <w:jc w:val="center"/>
        <w:rPr>
          <w:rFonts w:ascii="Times New Roman" w:hAnsi="Times New Roman" w:cs="Times New Roman"/>
          <w:b/>
          <w:bCs/>
          <w:sz w:val="24"/>
          <w:szCs w:val="24"/>
          <w:lang w:val="en-GB"/>
        </w:rPr>
      </w:pPr>
      <w:r w:rsidRPr="00F0288D">
        <w:rPr>
          <w:rFonts w:ascii="Times New Roman" w:hAnsi="Times New Roman" w:cs="Times New Roman"/>
          <w:b/>
          <w:bCs/>
          <w:sz w:val="24"/>
          <w:szCs w:val="24"/>
          <w:lang w:val="en-GB"/>
        </w:rPr>
        <w:t>Orjon Xhoxhi</w:t>
      </w:r>
    </w:p>
    <w:p w14:paraId="66125527" w14:textId="77777777" w:rsidR="00227B62" w:rsidRPr="00F0288D" w:rsidRDefault="00227B62" w:rsidP="00561FC0">
      <w:pPr>
        <w:spacing w:after="0" w:line="240" w:lineRule="auto"/>
        <w:jc w:val="center"/>
        <w:rPr>
          <w:rFonts w:ascii="Times New Roman" w:hAnsi="Times New Roman" w:cs="Times New Roman"/>
          <w:color w:val="000000"/>
          <w:sz w:val="24"/>
          <w:szCs w:val="24"/>
          <w:highlight w:val="white"/>
          <w:lang w:val="en-GB"/>
        </w:rPr>
      </w:pPr>
      <w:r w:rsidRPr="00F0288D">
        <w:rPr>
          <w:rFonts w:ascii="Times New Roman" w:hAnsi="Times New Roman" w:cs="Times New Roman"/>
          <w:color w:val="000000"/>
          <w:sz w:val="24"/>
          <w:szCs w:val="24"/>
          <w:highlight w:val="white"/>
          <w:lang w:val="en-GB"/>
        </w:rPr>
        <w:t>Faculty of Economics and Agribusiness, Agriculture University of Tirana, Tirana, Albania.</w:t>
      </w:r>
    </w:p>
    <w:p w14:paraId="6859AEA8" w14:textId="78A6BFB4" w:rsidR="00227B62" w:rsidRPr="00F0288D" w:rsidRDefault="00227B62" w:rsidP="00561FC0">
      <w:pPr>
        <w:spacing w:after="0" w:line="240" w:lineRule="auto"/>
        <w:jc w:val="center"/>
        <w:rPr>
          <w:rFonts w:ascii="Times New Roman" w:hAnsi="Times New Roman" w:cs="Times New Roman"/>
          <w:color w:val="0000FF"/>
          <w:sz w:val="24"/>
          <w:szCs w:val="24"/>
          <w:u w:val="single"/>
          <w:lang w:val="en-GB"/>
        </w:rPr>
      </w:pPr>
      <w:r w:rsidRPr="00F0288D">
        <w:rPr>
          <w:rFonts w:ascii="Times New Roman" w:hAnsi="Times New Roman" w:cs="Times New Roman"/>
          <w:color w:val="000000"/>
          <w:sz w:val="24"/>
          <w:szCs w:val="24"/>
          <w:highlight w:val="white"/>
          <w:lang w:val="en-GB"/>
        </w:rPr>
        <w:t xml:space="preserve">E-mail: </w:t>
      </w:r>
      <w:r w:rsidRPr="00F0288D">
        <w:rPr>
          <w:rFonts w:ascii="Times New Roman" w:hAnsi="Times New Roman" w:cs="Times New Roman"/>
          <w:color w:val="000000"/>
          <w:sz w:val="24"/>
          <w:szCs w:val="24"/>
          <w:lang w:val="en-GB"/>
        </w:rPr>
        <w:t>oxhoxhi</w:t>
      </w:r>
      <w:hyperlink r:id="rId28">
        <w:r w:rsidRPr="00F0288D">
          <w:rPr>
            <w:rFonts w:ascii="Times New Roman" w:hAnsi="Times New Roman" w:cs="Times New Roman"/>
            <w:color w:val="0000FF"/>
            <w:sz w:val="24"/>
            <w:szCs w:val="24"/>
            <w:highlight w:val="white"/>
            <w:u w:val="single"/>
            <w:lang w:val="en-GB"/>
          </w:rPr>
          <w:t>@ubt.edu.al</w:t>
        </w:r>
      </w:hyperlink>
    </w:p>
    <w:p w14:paraId="3191E7EF" w14:textId="77777777" w:rsidR="00227B62" w:rsidRPr="00F0288D" w:rsidRDefault="00227B62" w:rsidP="00561FC0">
      <w:pPr>
        <w:spacing w:after="0" w:line="240" w:lineRule="auto"/>
        <w:jc w:val="center"/>
        <w:rPr>
          <w:rFonts w:ascii="Times New Roman" w:hAnsi="Times New Roman" w:cs="Times New Roman"/>
          <w:b/>
          <w:bCs/>
          <w:sz w:val="24"/>
          <w:szCs w:val="24"/>
          <w:lang w:val="en-GB"/>
        </w:rPr>
      </w:pPr>
    </w:p>
    <w:p w14:paraId="75CA0714" w14:textId="470BFA66" w:rsidR="00227B62" w:rsidRPr="00F0288D" w:rsidRDefault="00227B62" w:rsidP="00561FC0">
      <w:pPr>
        <w:spacing w:after="0" w:line="240" w:lineRule="auto"/>
        <w:jc w:val="center"/>
        <w:rPr>
          <w:rFonts w:ascii="Times New Roman" w:hAnsi="Times New Roman" w:cs="Times New Roman"/>
          <w:b/>
          <w:bCs/>
          <w:sz w:val="24"/>
          <w:szCs w:val="24"/>
          <w:lang w:val="en-GB"/>
        </w:rPr>
      </w:pPr>
      <w:r w:rsidRPr="00F0288D">
        <w:rPr>
          <w:rFonts w:ascii="Times New Roman" w:hAnsi="Times New Roman" w:cs="Times New Roman"/>
          <w:b/>
          <w:bCs/>
          <w:sz w:val="24"/>
          <w:szCs w:val="24"/>
          <w:lang w:val="en-GB"/>
        </w:rPr>
        <w:t>Engjell Skreli</w:t>
      </w:r>
    </w:p>
    <w:p w14:paraId="627E9422" w14:textId="77777777" w:rsidR="00227B62" w:rsidRPr="00F0288D" w:rsidRDefault="00227B62" w:rsidP="00561FC0">
      <w:pPr>
        <w:spacing w:after="0" w:line="240" w:lineRule="auto"/>
        <w:jc w:val="center"/>
        <w:rPr>
          <w:rFonts w:ascii="Times New Roman" w:hAnsi="Times New Roman" w:cs="Times New Roman"/>
          <w:color w:val="000000"/>
          <w:sz w:val="24"/>
          <w:szCs w:val="24"/>
          <w:highlight w:val="white"/>
          <w:lang w:val="en-GB"/>
        </w:rPr>
      </w:pPr>
      <w:r w:rsidRPr="00F0288D">
        <w:rPr>
          <w:rFonts w:ascii="Times New Roman" w:hAnsi="Times New Roman" w:cs="Times New Roman"/>
          <w:color w:val="000000"/>
          <w:sz w:val="24"/>
          <w:szCs w:val="24"/>
          <w:highlight w:val="white"/>
          <w:lang w:val="en-GB"/>
        </w:rPr>
        <w:t>Faculty of Economics and Agribusiness, Agriculture University of Tirana, Tirana, Albania.</w:t>
      </w:r>
    </w:p>
    <w:p w14:paraId="2FD06C31" w14:textId="65C08BF9" w:rsidR="00227B62" w:rsidRPr="00F0288D" w:rsidRDefault="00227B62" w:rsidP="00561FC0">
      <w:pPr>
        <w:spacing w:after="0" w:line="240" w:lineRule="auto"/>
        <w:jc w:val="center"/>
        <w:rPr>
          <w:rFonts w:ascii="Times New Roman" w:hAnsi="Times New Roman" w:cs="Times New Roman"/>
          <w:color w:val="0563C1" w:themeColor="hyperlink"/>
          <w:sz w:val="24"/>
          <w:szCs w:val="24"/>
          <w:highlight w:val="white"/>
          <w:u w:val="single"/>
          <w:lang w:val="en-GB"/>
        </w:rPr>
      </w:pPr>
      <w:r w:rsidRPr="00F0288D">
        <w:rPr>
          <w:rFonts w:ascii="Times New Roman" w:hAnsi="Times New Roman" w:cs="Times New Roman"/>
          <w:color w:val="000000"/>
          <w:sz w:val="24"/>
          <w:szCs w:val="24"/>
          <w:highlight w:val="white"/>
          <w:lang w:val="en-GB"/>
        </w:rPr>
        <w:t xml:space="preserve">E-mail: </w:t>
      </w:r>
      <w:hyperlink r:id="rId29" w:history="1">
        <w:r w:rsidRPr="00F0288D">
          <w:rPr>
            <w:rFonts w:ascii="Times New Roman" w:hAnsi="Times New Roman" w:cs="Times New Roman"/>
            <w:color w:val="0563C1" w:themeColor="hyperlink"/>
            <w:sz w:val="24"/>
            <w:szCs w:val="24"/>
            <w:highlight w:val="white"/>
            <w:u w:val="single"/>
            <w:lang w:val="en-GB"/>
          </w:rPr>
          <w:t>eskreli@ubt.edu.al</w:t>
        </w:r>
      </w:hyperlink>
    </w:p>
    <w:p w14:paraId="26C6C53F" w14:textId="77777777" w:rsidR="00227B62" w:rsidRPr="00F0288D" w:rsidRDefault="00227B62" w:rsidP="00561FC0">
      <w:pPr>
        <w:spacing w:after="0" w:line="240" w:lineRule="auto"/>
        <w:jc w:val="center"/>
        <w:rPr>
          <w:rFonts w:ascii="Times New Roman" w:eastAsia="Times New Roman" w:hAnsi="Times New Roman" w:cs="Times New Roman"/>
          <w:b/>
          <w:color w:val="000000"/>
          <w:sz w:val="24"/>
          <w:szCs w:val="24"/>
          <w:highlight w:val="white"/>
          <w:lang w:val="en-GB"/>
        </w:rPr>
      </w:pPr>
    </w:p>
    <w:p w14:paraId="1491BC06" w14:textId="6BD6F05F" w:rsidR="00227B62" w:rsidRPr="00F0288D" w:rsidRDefault="00227B62" w:rsidP="00561FC0">
      <w:pPr>
        <w:spacing w:after="0" w:line="240" w:lineRule="auto"/>
        <w:jc w:val="center"/>
        <w:rPr>
          <w:rFonts w:ascii="Times New Roman" w:eastAsia="Times New Roman" w:hAnsi="Times New Roman" w:cs="Times New Roman"/>
          <w:sz w:val="24"/>
          <w:szCs w:val="24"/>
          <w:lang w:val="en-GB"/>
        </w:rPr>
      </w:pPr>
      <w:r w:rsidRPr="00F0288D">
        <w:rPr>
          <w:rFonts w:ascii="Times New Roman" w:eastAsia="Times New Roman" w:hAnsi="Times New Roman" w:cs="Times New Roman"/>
          <w:b/>
          <w:color w:val="000000"/>
          <w:sz w:val="24"/>
          <w:szCs w:val="24"/>
          <w:highlight w:val="white"/>
          <w:lang w:val="en-GB"/>
        </w:rPr>
        <w:t>Edvin Zhllima</w:t>
      </w:r>
    </w:p>
    <w:p w14:paraId="35E6F611" w14:textId="77777777" w:rsidR="00227B62" w:rsidRPr="00F0288D" w:rsidRDefault="00227B62" w:rsidP="00F0288D">
      <w:pPr>
        <w:spacing w:after="0" w:line="240" w:lineRule="auto"/>
        <w:jc w:val="center"/>
        <w:rPr>
          <w:rFonts w:ascii="Times New Roman" w:eastAsia="Times New Roman" w:hAnsi="Times New Roman" w:cs="Times New Roman"/>
          <w:color w:val="000000"/>
          <w:sz w:val="24"/>
          <w:szCs w:val="24"/>
          <w:highlight w:val="white"/>
          <w:lang w:val="en-GB"/>
        </w:rPr>
      </w:pPr>
      <w:r w:rsidRPr="00F0288D">
        <w:rPr>
          <w:rFonts w:ascii="Times New Roman" w:eastAsia="Times New Roman" w:hAnsi="Times New Roman" w:cs="Times New Roman"/>
          <w:color w:val="000000"/>
          <w:sz w:val="24"/>
          <w:szCs w:val="24"/>
          <w:highlight w:val="white"/>
          <w:lang w:val="en-GB"/>
        </w:rPr>
        <w:t>Faculty of Economics and Agribusiness, Agriculture University of Tirana, Tirana, Albania.</w:t>
      </w:r>
    </w:p>
    <w:p w14:paraId="0500578F" w14:textId="66228F0D" w:rsidR="00227B62" w:rsidRPr="00F0288D" w:rsidRDefault="00227B62" w:rsidP="00561FC0">
      <w:pPr>
        <w:spacing w:after="0" w:line="240" w:lineRule="auto"/>
        <w:jc w:val="center"/>
        <w:rPr>
          <w:rFonts w:ascii="Times New Roman" w:eastAsia="Times New Roman" w:hAnsi="Times New Roman" w:cs="Times New Roman"/>
          <w:color w:val="0000FF"/>
          <w:sz w:val="24"/>
          <w:szCs w:val="24"/>
          <w:highlight w:val="white"/>
          <w:u w:val="single"/>
          <w:lang w:val="en-GB"/>
        </w:rPr>
      </w:pPr>
      <w:r w:rsidRPr="00F0288D">
        <w:rPr>
          <w:rFonts w:ascii="Times New Roman" w:eastAsia="Times New Roman" w:hAnsi="Times New Roman" w:cs="Times New Roman"/>
          <w:color w:val="000000"/>
          <w:sz w:val="24"/>
          <w:szCs w:val="24"/>
          <w:highlight w:val="white"/>
          <w:lang w:val="en-GB"/>
        </w:rPr>
        <w:t xml:space="preserve">E-mail: </w:t>
      </w:r>
      <w:hyperlink r:id="rId30">
        <w:r w:rsidRPr="00F0288D">
          <w:rPr>
            <w:rFonts w:ascii="Times New Roman" w:eastAsia="Times New Roman" w:hAnsi="Times New Roman" w:cs="Times New Roman"/>
            <w:color w:val="0000FF"/>
            <w:sz w:val="24"/>
            <w:szCs w:val="24"/>
            <w:highlight w:val="white"/>
            <w:u w:val="single"/>
            <w:lang w:val="en-GB"/>
          </w:rPr>
          <w:t>ezhllima@ubt.edu.al</w:t>
        </w:r>
      </w:hyperlink>
    </w:p>
    <w:p w14:paraId="56D6CBC6" w14:textId="77777777" w:rsidR="00227B62" w:rsidRPr="00F0288D" w:rsidRDefault="00227B62" w:rsidP="00561FC0">
      <w:pPr>
        <w:spacing w:after="0" w:line="240" w:lineRule="auto"/>
        <w:jc w:val="center"/>
        <w:rPr>
          <w:rFonts w:ascii="Times New Roman" w:eastAsia="Times New Roman" w:hAnsi="Times New Roman" w:cs="Times New Roman"/>
          <w:b/>
          <w:color w:val="000000"/>
          <w:sz w:val="24"/>
          <w:szCs w:val="24"/>
          <w:highlight w:val="white"/>
          <w:lang w:val="en-GB"/>
        </w:rPr>
      </w:pPr>
    </w:p>
    <w:p w14:paraId="792BAA37" w14:textId="77777777" w:rsidR="00227B62" w:rsidRPr="00F0288D" w:rsidRDefault="00227B62" w:rsidP="00561FC0">
      <w:pPr>
        <w:spacing w:after="0" w:line="240" w:lineRule="auto"/>
        <w:jc w:val="center"/>
        <w:rPr>
          <w:rFonts w:ascii="Times New Roman" w:eastAsia="Times New Roman" w:hAnsi="Times New Roman" w:cs="Times New Roman"/>
          <w:sz w:val="24"/>
          <w:szCs w:val="24"/>
          <w:lang w:val="en-GB"/>
        </w:rPr>
      </w:pPr>
      <w:r w:rsidRPr="00F0288D">
        <w:rPr>
          <w:rFonts w:ascii="Times New Roman" w:eastAsia="Times New Roman" w:hAnsi="Times New Roman" w:cs="Times New Roman"/>
          <w:b/>
          <w:color w:val="000000"/>
          <w:sz w:val="24"/>
          <w:szCs w:val="24"/>
          <w:highlight w:val="white"/>
          <w:lang w:val="en-GB"/>
        </w:rPr>
        <w:t>Drini Imami</w:t>
      </w:r>
    </w:p>
    <w:p w14:paraId="1B2DF2B3" w14:textId="77777777" w:rsidR="00227B62" w:rsidRPr="00F0288D" w:rsidRDefault="00227B62" w:rsidP="00F0288D">
      <w:pPr>
        <w:spacing w:after="0" w:line="240" w:lineRule="auto"/>
        <w:jc w:val="center"/>
        <w:rPr>
          <w:rFonts w:ascii="Times New Roman" w:eastAsia="Times New Roman" w:hAnsi="Times New Roman" w:cs="Times New Roman"/>
          <w:color w:val="000000"/>
          <w:sz w:val="24"/>
          <w:szCs w:val="24"/>
          <w:highlight w:val="white"/>
          <w:lang w:val="en-GB"/>
        </w:rPr>
      </w:pPr>
      <w:r w:rsidRPr="00F0288D">
        <w:rPr>
          <w:rFonts w:ascii="Times New Roman" w:eastAsia="Times New Roman" w:hAnsi="Times New Roman" w:cs="Times New Roman"/>
          <w:color w:val="000000"/>
          <w:sz w:val="24"/>
          <w:szCs w:val="24"/>
          <w:highlight w:val="white"/>
          <w:lang w:val="en-GB"/>
        </w:rPr>
        <w:t>Faculty of Economics and Agribusiness, Agriculture University of Tirana, Tirana, Albania.</w:t>
      </w:r>
    </w:p>
    <w:p w14:paraId="4CC47419" w14:textId="1C1EF8A2" w:rsidR="00227B62" w:rsidRPr="00F0288D" w:rsidRDefault="00227B62" w:rsidP="00561FC0">
      <w:pPr>
        <w:spacing w:after="0" w:line="240" w:lineRule="auto"/>
        <w:jc w:val="center"/>
        <w:rPr>
          <w:rFonts w:ascii="Times New Roman" w:eastAsia="Times New Roman" w:hAnsi="Times New Roman" w:cs="Times New Roman"/>
          <w:color w:val="0000FF"/>
          <w:sz w:val="24"/>
          <w:szCs w:val="24"/>
          <w:u w:val="single"/>
          <w:lang w:val="en-GB"/>
        </w:rPr>
      </w:pPr>
      <w:r w:rsidRPr="00F0288D">
        <w:rPr>
          <w:rFonts w:ascii="Times New Roman" w:eastAsia="Times New Roman" w:hAnsi="Times New Roman" w:cs="Times New Roman"/>
          <w:color w:val="000000"/>
          <w:sz w:val="24"/>
          <w:szCs w:val="24"/>
          <w:highlight w:val="white"/>
          <w:lang w:val="en-GB"/>
        </w:rPr>
        <w:t xml:space="preserve">E-mail: </w:t>
      </w:r>
      <w:hyperlink r:id="rId31">
        <w:r w:rsidRPr="00F0288D">
          <w:rPr>
            <w:rFonts w:ascii="Times New Roman" w:eastAsia="Times New Roman" w:hAnsi="Times New Roman" w:cs="Times New Roman"/>
            <w:color w:val="0000FF"/>
            <w:sz w:val="24"/>
            <w:szCs w:val="24"/>
            <w:highlight w:val="white"/>
            <w:u w:val="single"/>
            <w:lang w:val="en-GB"/>
          </w:rPr>
          <w:t>dimami@ubt.edu.al</w:t>
        </w:r>
      </w:hyperlink>
    </w:p>
    <w:p w14:paraId="6B352090" w14:textId="62421A2A" w:rsidR="00227B62" w:rsidRPr="00F0288D" w:rsidRDefault="00227B62" w:rsidP="00F0288D">
      <w:pPr>
        <w:spacing w:after="120" w:line="240" w:lineRule="auto"/>
        <w:jc w:val="center"/>
        <w:rPr>
          <w:rFonts w:ascii="Times New Roman" w:eastAsia="Times New Roman" w:hAnsi="Times New Roman" w:cs="Times New Roman"/>
          <w:sz w:val="24"/>
          <w:szCs w:val="24"/>
          <w:lang w:val="en-GB"/>
        </w:rPr>
      </w:pPr>
    </w:p>
    <w:p w14:paraId="364BDAEA" w14:textId="757E051A" w:rsidR="00227B62" w:rsidRDefault="00227B62" w:rsidP="00F0288D">
      <w:pPr>
        <w:spacing w:after="0" w:line="240" w:lineRule="auto"/>
        <w:jc w:val="center"/>
        <w:rPr>
          <w:rFonts w:ascii="Times New Roman" w:eastAsia="Times New Roman" w:hAnsi="Times New Roman" w:cs="Times New Roman"/>
          <w:b/>
          <w:color w:val="000000"/>
          <w:sz w:val="24"/>
          <w:szCs w:val="24"/>
          <w:lang w:val="en-GB"/>
        </w:rPr>
      </w:pPr>
      <w:r w:rsidRPr="00F0288D">
        <w:rPr>
          <w:rFonts w:ascii="Times New Roman" w:eastAsia="Times New Roman" w:hAnsi="Times New Roman" w:cs="Times New Roman"/>
          <w:b/>
          <w:color w:val="000000"/>
          <w:sz w:val="24"/>
          <w:szCs w:val="24"/>
          <w:lang w:val="en-GB"/>
        </w:rPr>
        <w:t xml:space="preserve">Sophia Davidova </w:t>
      </w:r>
    </w:p>
    <w:p w14:paraId="66CFF5FD" w14:textId="69AD0D0C" w:rsidR="0037730D" w:rsidRPr="00A50504" w:rsidRDefault="0037730D" w:rsidP="00561FC0">
      <w:pPr>
        <w:jc w:val="center"/>
        <w:rPr>
          <w:rFonts w:ascii="Times New Roman" w:hAnsi="Times New Roman" w:cs="Times New Roman"/>
          <w:sz w:val="24"/>
          <w:szCs w:val="24"/>
        </w:rPr>
      </w:pPr>
      <w:r w:rsidRPr="00A50504">
        <w:rPr>
          <w:rFonts w:ascii="Times New Roman" w:hAnsi="Times New Roman" w:cs="Times New Roman"/>
          <w:sz w:val="24"/>
          <w:szCs w:val="24"/>
          <w:shd w:val="clear" w:color="auto" w:fill="FFFFFF"/>
        </w:rPr>
        <w:t>School of Economics, University of Kent</w:t>
      </w:r>
      <w:r>
        <w:rPr>
          <w:rFonts w:ascii="Times New Roman" w:hAnsi="Times New Roman" w:cs="Times New Roman"/>
          <w:sz w:val="24"/>
          <w:szCs w:val="24"/>
          <w:shd w:val="clear" w:color="auto" w:fill="FFFFFF"/>
        </w:rPr>
        <w:t>, United Kingdom</w:t>
      </w:r>
    </w:p>
    <w:p w14:paraId="1CF29873" w14:textId="1F7765EC" w:rsidR="00227B62" w:rsidRPr="00F0288D" w:rsidRDefault="00227B62" w:rsidP="00F0288D">
      <w:pPr>
        <w:spacing w:after="120" w:line="240" w:lineRule="auto"/>
        <w:jc w:val="center"/>
        <w:rPr>
          <w:rFonts w:ascii="Times New Roman" w:eastAsia="Times New Roman" w:hAnsi="Times New Roman" w:cs="Times New Roman"/>
          <w:color w:val="000000"/>
          <w:sz w:val="24"/>
          <w:szCs w:val="24"/>
          <w:lang w:val="en-GB"/>
        </w:rPr>
      </w:pPr>
      <w:r w:rsidRPr="00F0288D">
        <w:rPr>
          <w:rFonts w:ascii="Times New Roman" w:eastAsia="Times New Roman" w:hAnsi="Times New Roman" w:cs="Times New Roman"/>
          <w:color w:val="000000"/>
          <w:sz w:val="24"/>
          <w:szCs w:val="24"/>
          <w:highlight w:val="white"/>
          <w:lang w:val="en-GB"/>
        </w:rPr>
        <w:t>E-mail:</w:t>
      </w:r>
      <w:r w:rsidR="00F0288D" w:rsidRPr="00F0288D">
        <w:rPr>
          <w:rFonts w:ascii="Times New Roman" w:eastAsia="Times New Roman" w:hAnsi="Times New Roman" w:cs="Times New Roman"/>
          <w:color w:val="000000"/>
          <w:sz w:val="24"/>
          <w:szCs w:val="24"/>
          <w:lang w:val="en-GB"/>
        </w:rPr>
        <w:t xml:space="preserve"> </w:t>
      </w:r>
      <w:hyperlink r:id="rId32" w:history="1">
        <w:r w:rsidR="00F0288D" w:rsidRPr="00F0288D">
          <w:rPr>
            <w:rStyle w:val="Hyperlink"/>
            <w:rFonts w:ascii="Times New Roman" w:eastAsia="Times New Roman" w:hAnsi="Times New Roman"/>
            <w:sz w:val="24"/>
            <w:szCs w:val="24"/>
            <w:lang w:val="en-GB"/>
          </w:rPr>
          <w:t>S.M.Davidova@kent.ac.uk</w:t>
        </w:r>
      </w:hyperlink>
    </w:p>
    <w:p w14:paraId="075EA3EA" w14:textId="77777777" w:rsidR="00227B62" w:rsidRPr="00F0288D" w:rsidRDefault="00227B62" w:rsidP="00F0288D">
      <w:pPr>
        <w:spacing w:after="120" w:line="240" w:lineRule="auto"/>
        <w:jc w:val="center"/>
        <w:rPr>
          <w:rFonts w:ascii="Times New Roman" w:eastAsia="Times New Roman" w:hAnsi="Times New Roman" w:cs="Times New Roman"/>
          <w:color w:val="0000FF"/>
          <w:sz w:val="24"/>
          <w:szCs w:val="24"/>
          <w:u w:val="single"/>
          <w:lang w:val="en-GB"/>
        </w:rPr>
      </w:pPr>
    </w:p>
    <w:p w14:paraId="520E2BD1" w14:textId="5D4B6633" w:rsidR="00D43A62" w:rsidRDefault="00D43A62" w:rsidP="00F0288D">
      <w:pPr>
        <w:spacing w:after="0" w:line="240" w:lineRule="auto"/>
        <w:jc w:val="center"/>
        <w:rPr>
          <w:rFonts w:ascii="Times New Roman" w:eastAsia="Times New Roman" w:hAnsi="Times New Roman" w:cs="Times New Roman"/>
          <w:b/>
          <w:color w:val="000000"/>
          <w:sz w:val="24"/>
          <w:szCs w:val="24"/>
          <w:lang w:val="en-GB"/>
        </w:rPr>
      </w:pPr>
      <w:r w:rsidRPr="00F0288D">
        <w:rPr>
          <w:rFonts w:ascii="Times New Roman" w:eastAsia="Times New Roman" w:hAnsi="Times New Roman" w:cs="Times New Roman"/>
          <w:b/>
          <w:color w:val="000000"/>
          <w:sz w:val="24"/>
          <w:szCs w:val="24"/>
          <w:lang w:val="en-GB"/>
        </w:rPr>
        <w:t xml:space="preserve">Dmitry Zvyagintsev </w:t>
      </w:r>
    </w:p>
    <w:p w14:paraId="309C9B81" w14:textId="5EB2415C" w:rsidR="009B0BF3" w:rsidRPr="00561FC0" w:rsidRDefault="0037730D" w:rsidP="00561FC0">
      <w:pPr>
        <w:jc w:val="center"/>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Policy Officer, </w:t>
      </w:r>
      <w:r w:rsidR="009B0BF3" w:rsidRPr="00561FC0">
        <w:rPr>
          <w:rFonts w:ascii="Times New Roman" w:hAnsi="Times New Roman" w:cs="Times New Roman"/>
          <w:sz w:val="24"/>
          <w:szCs w:val="24"/>
          <w:bdr w:val="none" w:sz="0" w:space="0" w:color="auto" w:frame="1"/>
        </w:rPr>
        <w:t>Food and Agriculture Organization of the United Nations</w:t>
      </w:r>
    </w:p>
    <w:p w14:paraId="3FD5C21C" w14:textId="2F9DB698" w:rsidR="00227B62" w:rsidRDefault="00227B62" w:rsidP="00F0288D">
      <w:pPr>
        <w:spacing w:after="120" w:line="240" w:lineRule="auto"/>
        <w:jc w:val="center"/>
        <w:rPr>
          <w:rFonts w:ascii="Times New Roman" w:hAnsi="Times New Roman" w:cs="Times New Roman"/>
          <w:sz w:val="24"/>
          <w:szCs w:val="24"/>
        </w:rPr>
      </w:pPr>
      <w:r w:rsidRPr="00F0288D">
        <w:rPr>
          <w:rFonts w:ascii="Times New Roman" w:eastAsia="Times New Roman" w:hAnsi="Times New Roman" w:cs="Times New Roman"/>
          <w:color w:val="000000"/>
          <w:sz w:val="24"/>
          <w:szCs w:val="24"/>
          <w:highlight w:val="white"/>
          <w:lang w:val="en-GB"/>
        </w:rPr>
        <w:t xml:space="preserve">E-mail: </w:t>
      </w:r>
      <w:hyperlink r:id="rId33" w:history="1">
        <w:r w:rsidR="00F0288D" w:rsidRPr="00DC7C04">
          <w:rPr>
            <w:rStyle w:val="Hyperlink"/>
            <w:rFonts w:ascii="Times New Roman" w:hAnsi="Times New Roman"/>
            <w:sz w:val="24"/>
            <w:szCs w:val="24"/>
          </w:rPr>
          <w:t>dmitry.zvyagintsev@fao.org</w:t>
        </w:r>
      </w:hyperlink>
    </w:p>
    <w:p w14:paraId="59979450" w14:textId="77777777" w:rsidR="00F0288D" w:rsidRPr="00F0288D" w:rsidRDefault="00F0288D" w:rsidP="00F0288D">
      <w:pPr>
        <w:spacing w:after="120" w:line="240" w:lineRule="auto"/>
        <w:jc w:val="center"/>
        <w:rPr>
          <w:rFonts w:ascii="Times New Roman" w:eastAsia="Times New Roman" w:hAnsi="Times New Roman" w:cs="Times New Roman"/>
          <w:sz w:val="24"/>
          <w:szCs w:val="24"/>
          <w:lang w:val="en-GB"/>
        </w:rPr>
      </w:pPr>
    </w:p>
    <w:p w14:paraId="42F1DF34" w14:textId="77777777" w:rsidR="00227B62" w:rsidRPr="00F0288D" w:rsidRDefault="00227B62" w:rsidP="00F0288D">
      <w:pPr>
        <w:spacing w:after="120" w:line="240" w:lineRule="auto"/>
        <w:jc w:val="center"/>
        <w:rPr>
          <w:rFonts w:ascii="Times New Roman" w:eastAsia="Times New Roman" w:hAnsi="Times New Roman" w:cs="Times New Roman"/>
          <w:sz w:val="24"/>
          <w:szCs w:val="24"/>
          <w:lang w:val="en-GB"/>
        </w:rPr>
      </w:pPr>
    </w:p>
    <w:p w14:paraId="27A6D054" w14:textId="15A12026" w:rsidR="00227B62" w:rsidRPr="00F0288D" w:rsidRDefault="00227B62" w:rsidP="00F0288D">
      <w:pPr>
        <w:spacing w:after="120" w:line="240" w:lineRule="auto"/>
        <w:jc w:val="center"/>
        <w:rPr>
          <w:rFonts w:ascii="Times New Roman" w:eastAsia="Times New Roman" w:hAnsi="Times New Roman" w:cs="Times New Roman"/>
          <w:b/>
          <w:color w:val="000000"/>
          <w:sz w:val="24"/>
          <w:szCs w:val="24"/>
          <w:highlight w:val="white"/>
          <w:lang w:val="en-GB"/>
        </w:rPr>
      </w:pPr>
    </w:p>
    <w:p w14:paraId="615B044E" w14:textId="65687178" w:rsidR="0090540E" w:rsidRDefault="0090540E" w:rsidP="00227B62">
      <w:pPr>
        <w:spacing w:after="120" w:line="240" w:lineRule="auto"/>
        <w:jc w:val="center"/>
        <w:rPr>
          <w:rFonts w:ascii="Times New Roman" w:eastAsia="Times New Roman" w:hAnsi="Times New Roman" w:cs="Times New Roman"/>
          <w:b/>
          <w:color w:val="000000"/>
          <w:sz w:val="24"/>
          <w:szCs w:val="24"/>
          <w:highlight w:val="white"/>
          <w:lang w:val="en-GB"/>
        </w:rPr>
      </w:pPr>
    </w:p>
    <w:p w14:paraId="72D604D2" w14:textId="5FA95AD8" w:rsidR="0090540E" w:rsidRDefault="0090540E" w:rsidP="00227B62">
      <w:pPr>
        <w:spacing w:after="120" w:line="240" w:lineRule="auto"/>
        <w:jc w:val="center"/>
        <w:rPr>
          <w:rFonts w:ascii="Times New Roman" w:eastAsia="Times New Roman" w:hAnsi="Times New Roman" w:cs="Times New Roman"/>
          <w:b/>
          <w:color w:val="000000"/>
          <w:sz w:val="24"/>
          <w:szCs w:val="24"/>
          <w:highlight w:val="white"/>
          <w:lang w:val="en-GB"/>
        </w:rPr>
      </w:pPr>
    </w:p>
    <w:p w14:paraId="7F0EEA87" w14:textId="5CC90AF6" w:rsidR="0090540E" w:rsidRDefault="0090540E" w:rsidP="00227B62">
      <w:pPr>
        <w:spacing w:after="120" w:line="240" w:lineRule="auto"/>
        <w:jc w:val="center"/>
        <w:rPr>
          <w:rFonts w:ascii="Times New Roman" w:eastAsia="Times New Roman" w:hAnsi="Times New Roman" w:cs="Times New Roman"/>
          <w:b/>
          <w:color w:val="000000"/>
          <w:sz w:val="24"/>
          <w:szCs w:val="24"/>
          <w:highlight w:val="white"/>
          <w:lang w:val="en-GB"/>
        </w:rPr>
      </w:pPr>
    </w:p>
    <w:p w14:paraId="27B66891" w14:textId="434CAFB0" w:rsidR="0090540E" w:rsidRDefault="0090540E" w:rsidP="00227B62">
      <w:pPr>
        <w:spacing w:after="120" w:line="240" w:lineRule="auto"/>
        <w:jc w:val="center"/>
        <w:rPr>
          <w:rFonts w:ascii="Times New Roman" w:eastAsia="Times New Roman" w:hAnsi="Times New Roman" w:cs="Times New Roman"/>
          <w:b/>
          <w:color w:val="000000"/>
          <w:sz w:val="24"/>
          <w:szCs w:val="24"/>
          <w:highlight w:val="white"/>
          <w:lang w:val="en-GB"/>
        </w:rPr>
      </w:pPr>
    </w:p>
    <w:p w14:paraId="6FFCBACB" w14:textId="3D7E86E3" w:rsidR="0090540E" w:rsidRDefault="0090540E" w:rsidP="00227B62">
      <w:pPr>
        <w:spacing w:after="120" w:line="240" w:lineRule="auto"/>
        <w:jc w:val="center"/>
        <w:rPr>
          <w:rFonts w:ascii="Times New Roman" w:eastAsia="Times New Roman" w:hAnsi="Times New Roman" w:cs="Times New Roman"/>
          <w:b/>
          <w:color w:val="000000"/>
          <w:sz w:val="24"/>
          <w:szCs w:val="24"/>
          <w:highlight w:val="white"/>
          <w:lang w:val="en-GB"/>
        </w:rPr>
      </w:pPr>
    </w:p>
    <w:p w14:paraId="3A098736" w14:textId="666D1AB8" w:rsidR="0090540E" w:rsidRDefault="0090540E" w:rsidP="00227B62">
      <w:pPr>
        <w:spacing w:after="120" w:line="240" w:lineRule="auto"/>
        <w:jc w:val="center"/>
        <w:rPr>
          <w:rFonts w:ascii="Times New Roman" w:eastAsia="Times New Roman" w:hAnsi="Times New Roman" w:cs="Times New Roman"/>
          <w:b/>
          <w:color w:val="000000"/>
          <w:sz w:val="24"/>
          <w:szCs w:val="24"/>
          <w:highlight w:val="white"/>
          <w:lang w:val="en-GB"/>
        </w:rPr>
      </w:pPr>
    </w:p>
    <w:p w14:paraId="02A6EF52" w14:textId="77777777" w:rsidR="0090540E" w:rsidRPr="00C7410A" w:rsidRDefault="0090540E" w:rsidP="00227B62">
      <w:pPr>
        <w:spacing w:after="120" w:line="240" w:lineRule="auto"/>
        <w:jc w:val="center"/>
        <w:rPr>
          <w:rFonts w:ascii="Times New Roman" w:eastAsia="Times New Roman" w:hAnsi="Times New Roman" w:cs="Times New Roman"/>
          <w:b/>
          <w:color w:val="000000"/>
          <w:sz w:val="24"/>
          <w:szCs w:val="24"/>
          <w:highlight w:val="white"/>
          <w:lang w:val="en-GB"/>
        </w:rPr>
      </w:pPr>
    </w:p>
    <w:p w14:paraId="4592F9E9" w14:textId="77777777" w:rsidR="00227B62" w:rsidRPr="00C7410A" w:rsidRDefault="00227B62" w:rsidP="00227B62">
      <w:pPr>
        <w:spacing w:after="200" w:line="240" w:lineRule="auto"/>
        <w:rPr>
          <w:rFonts w:ascii="Times New Roman" w:eastAsia="Times New Roman" w:hAnsi="Times New Roman" w:cs="Times New Roman"/>
          <w:b/>
          <w:sz w:val="24"/>
          <w:szCs w:val="24"/>
          <w:lang w:val="en-GB"/>
        </w:rPr>
      </w:pPr>
    </w:p>
    <w:p w14:paraId="328A3FDB" w14:textId="77777777" w:rsidR="00227B62" w:rsidRPr="00C7410A" w:rsidRDefault="00227B62" w:rsidP="00227B62">
      <w:pPr>
        <w:pBdr>
          <w:top w:val="nil"/>
          <w:left w:val="nil"/>
          <w:bottom w:val="nil"/>
          <w:right w:val="nil"/>
          <w:between w:val="nil"/>
        </w:pBdr>
        <w:spacing w:after="200" w:line="240" w:lineRule="auto"/>
        <w:ind w:left="360"/>
        <w:jc w:val="both"/>
        <w:rPr>
          <w:rFonts w:ascii="Times New Roman" w:eastAsia="Times New Roman" w:hAnsi="Times New Roman" w:cs="Times New Roman"/>
          <w:color w:val="000000"/>
          <w:sz w:val="24"/>
          <w:szCs w:val="24"/>
          <w:lang w:val="en-GB"/>
        </w:rPr>
      </w:pPr>
    </w:p>
    <w:p w14:paraId="7CC070B9" w14:textId="77777777" w:rsidR="00227B62" w:rsidRPr="00C7410A" w:rsidRDefault="00227B62" w:rsidP="00227B62">
      <w:pPr>
        <w:spacing w:before="100" w:beforeAutospacing="1" w:after="100" w:afterAutospacing="1" w:line="240" w:lineRule="auto"/>
        <w:outlineLvl w:val="0"/>
        <w:rPr>
          <w:rFonts w:ascii="Times New Roman" w:eastAsia="Times New Roman" w:hAnsi="Times New Roman" w:cs="Times New Roman"/>
          <w:b/>
          <w:bCs/>
          <w:kern w:val="36"/>
          <w:sz w:val="28"/>
          <w:szCs w:val="28"/>
          <w:lang w:val="en-GB"/>
        </w:rPr>
      </w:pPr>
      <w:r w:rsidRPr="00C7410A">
        <w:rPr>
          <w:rFonts w:ascii="Times New Roman" w:eastAsia="Times New Roman" w:hAnsi="Times New Roman" w:cs="Times New Roman"/>
          <w:b/>
          <w:bCs/>
          <w:kern w:val="36"/>
          <w:sz w:val="28"/>
          <w:szCs w:val="28"/>
          <w:lang w:val="en-GB"/>
        </w:rPr>
        <w:t>Abstract</w:t>
      </w:r>
    </w:p>
    <w:p w14:paraId="60825CD1" w14:textId="540A3DFA" w:rsidR="00934EFE" w:rsidRDefault="00934EFE">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lang w:val="en-GB"/>
        </w:rPr>
      </w:pPr>
      <w:r w:rsidRPr="00934EFE">
        <w:rPr>
          <w:rFonts w:ascii="Times New Roman" w:eastAsia="Times New Roman" w:hAnsi="Times New Roman" w:cs="Times New Roman"/>
          <w:color w:val="000000"/>
          <w:sz w:val="24"/>
          <w:szCs w:val="24"/>
          <w:lang w:val="en-GB"/>
        </w:rPr>
        <w:t>Greenhouse sector is the leading Albanian agrifood sector in terms of exports, and it is growing rapidly. This paper analyses the impact of budgetary support on greenhouse sector during the 2013-2018. A total of 2</w:t>
      </w:r>
      <w:r>
        <w:rPr>
          <w:rFonts w:ascii="Times New Roman" w:eastAsia="Times New Roman" w:hAnsi="Times New Roman" w:cs="Times New Roman"/>
          <w:color w:val="000000"/>
          <w:sz w:val="24"/>
          <w:szCs w:val="24"/>
          <w:lang w:val="en-GB"/>
        </w:rPr>
        <w:t>25</w:t>
      </w:r>
      <w:r w:rsidRPr="00934EFE">
        <w:rPr>
          <w:rFonts w:ascii="Times New Roman" w:eastAsia="Times New Roman" w:hAnsi="Times New Roman" w:cs="Times New Roman"/>
          <w:color w:val="000000"/>
          <w:sz w:val="24"/>
          <w:szCs w:val="24"/>
          <w:lang w:val="en-GB"/>
        </w:rPr>
        <w:t xml:space="preserve"> farmers were surveyed during 2019 of which </w:t>
      </w:r>
      <w:r>
        <w:rPr>
          <w:rFonts w:ascii="Times New Roman" w:eastAsia="Times New Roman" w:hAnsi="Times New Roman" w:cs="Times New Roman"/>
          <w:color w:val="000000"/>
          <w:sz w:val="24"/>
          <w:szCs w:val="24"/>
          <w:lang w:val="en-GB"/>
        </w:rPr>
        <w:t>98</w:t>
      </w:r>
      <w:r w:rsidRPr="00934EFE">
        <w:rPr>
          <w:rFonts w:ascii="Times New Roman" w:eastAsia="Times New Roman" w:hAnsi="Times New Roman" w:cs="Times New Roman"/>
          <w:color w:val="000000"/>
          <w:sz w:val="24"/>
          <w:szCs w:val="24"/>
          <w:lang w:val="en-GB"/>
        </w:rPr>
        <w:t xml:space="preserve"> have benefited support from the Agriculture and Rural Development Program Fund (ARDPF) and </w:t>
      </w:r>
      <w:r>
        <w:rPr>
          <w:rFonts w:ascii="Times New Roman" w:eastAsia="Times New Roman" w:hAnsi="Times New Roman" w:cs="Times New Roman"/>
          <w:color w:val="000000"/>
          <w:sz w:val="24"/>
          <w:szCs w:val="24"/>
          <w:lang w:val="en-GB"/>
        </w:rPr>
        <w:t>127</w:t>
      </w:r>
      <w:r w:rsidRPr="00934EFE">
        <w:rPr>
          <w:rFonts w:ascii="Times New Roman" w:eastAsia="Times New Roman" w:hAnsi="Times New Roman" w:cs="Times New Roman"/>
          <w:color w:val="000000"/>
          <w:sz w:val="24"/>
          <w:szCs w:val="24"/>
          <w:lang w:val="en-GB"/>
        </w:rPr>
        <w:t xml:space="preserve"> non-beneficiaries.</w:t>
      </w:r>
      <w:r>
        <w:rPr>
          <w:rFonts w:ascii="Times New Roman" w:eastAsia="Times New Roman" w:hAnsi="Times New Roman" w:cs="Times New Roman"/>
          <w:color w:val="000000"/>
          <w:sz w:val="24"/>
          <w:szCs w:val="24"/>
          <w:lang w:val="en-GB"/>
        </w:rPr>
        <w:t xml:space="preserve"> </w:t>
      </w:r>
      <w:r w:rsidRPr="00934EFE">
        <w:rPr>
          <w:rFonts w:ascii="Times New Roman" w:eastAsia="Times New Roman" w:hAnsi="Times New Roman" w:cs="Times New Roman"/>
          <w:color w:val="000000"/>
          <w:sz w:val="24"/>
          <w:szCs w:val="24"/>
          <w:lang w:val="en-GB"/>
        </w:rPr>
        <w:t xml:space="preserve">The impact is assessed using two approaches:  the first one employee’s causal forest which is an adaptation of the random forest algorithm of </w:t>
      </w:r>
      <w:proofErr w:type="spellStart"/>
      <w:r w:rsidRPr="00934EFE">
        <w:rPr>
          <w:rFonts w:ascii="Times New Roman" w:eastAsia="Times New Roman" w:hAnsi="Times New Roman" w:cs="Times New Roman"/>
          <w:color w:val="000000"/>
          <w:sz w:val="24"/>
          <w:szCs w:val="24"/>
          <w:lang w:val="en-GB"/>
        </w:rPr>
        <w:t>Breiman</w:t>
      </w:r>
      <w:proofErr w:type="spellEnd"/>
      <w:r w:rsidRPr="00934EFE">
        <w:rPr>
          <w:rFonts w:ascii="Times New Roman" w:eastAsia="Times New Roman" w:hAnsi="Times New Roman" w:cs="Times New Roman"/>
          <w:color w:val="000000"/>
          <w:sz w:val="24"/>
          <w:szCs w:val="24"/>
          <w:lang w:val="en-GB"/>
        </w:rPr>
        <w:t xml:space="preserve"> to the problem treatment effect estimation, while in the second one genetic matching is used to match beneficiaries and non-beneficiaries on observables. The current paper contributes to the impact assessment literature by using comparative methodological analysis, by combining classical tools with latest approaches and by assessing the financial support policies (both investment and direct support measures impact in an important sector of an EU candidate country, to provide lessons learned). Results suggest that subsidies have had a positive impact on farm revenues</w:t>
      </w:r>
      <w:r w:rsidR="006B221D">
        <w:rPr>
          <w:rFonts w:ascii="Times New Roman" w:eastAsia="Times New Roman" w:hAnsi="Times New Roman" w:cs="Times New Roman"/>
          <w:color w:val="000000"/>
          <w:sz w:val="24"/>
          <w:szCs w:val="24"/>
          <w:lang w:val="en-GB"/>
        </w:rPr>
        <w:t xml:space="preserve"> and farm investment,</w:t>
      </w:r>
      <w:r w:rsidRPr="00934EFE">
        <w:rPr>
          <w:rFonts w:ascii="Times New Roman" w:eastAsia="Times New Roman" w:hAnsi="Times New Roman" w:cs="Times New Roman"/>
          <w:color w:val="000000"/>
          <w:sz w:val="24"/>
          <w:szCs w:val="24"/>
          <w:lang w:val="en-GB"/>
        </w:rPr>
        <w:t xml:space="preserve"> but no clear significant impact is observed </w:t>
      </w:r>
      <w:r w:rsidR="006B221D">
        <w:rPr>
          <w:rFonts w:ascii="Times New Roman" w:eastAsia="Times New Roman" w:hAnsi="Times New Roman" w:cs="Times New Roman"/>
          <w:color w:val="000000"/>
          <w:sz w:val="24"/>
          <w:szCs w:val="24"/>
          <w:lang w:val="en-GB"/>
        </w:rPr>
        <w:t xml:space="preserve">for </w:t>
      </w:r>
      <w:r w:rsidR="006B221D" w:rsidRPr="006B221D">
        <w:rPr>
          <w:rFonts w:ascii="Times New Roman" w:eastAsia="Times New Roman" w:hAnsi="Times New Roman" w:cs="Times New Roman"/>
          <w:color w:val="000000"/>
          <w:sz w:val="24"/>
          <w:szCs w:val="24"/>
          <w:lang w:val="en-GB"/>
        </w:rPr>
        <w:t xml:space="preserve">employment of hired </w:t>
      </w:r>
      <w:r w:rsidR="00900B9A" w:rsidRPr="006B221D">
        <w:rPr>
          <w:rFonts w:ascii="Times New Roman" w:eastAsia="Times New Roman" w:hAnsi="Times New Roman" w:cs="Times New Roman"/>
          <w:color w:val="000000"/>
          <w:sz w:val="24"/>
          <w:szCs w:val="24"/>
          <w:lang w:val="en-GB"/>
        </w:rPr>
        <w:t>labour</w:t>
      </w:r>
      <w:r w:rsidR="006B221D" w:rsidRPr="006B221D">
        <w:rPr>
          <w:rFonts w:ascii="Times New Roman" w:eastAsia="Times New Roman" w:hAnsi="Times New Roman" w:cs="Times New Roman"/>
          <w:color w:val="000000"/>
          <w:sz w:val="24"/>
          <w:szCs w:val="24"/>
          <w:lang w:val="en-GB"/>
        </w:rPr>
        <w:t xml:space="preserve"> in farm and farmers willingness to invest in the future</w:t>
      </w:r>
      <w:r w:rsidRPr="00934EFE">
        <w:rPr>
          <w:rFonts w:ascii="Times New Roman" w:eastAsia="Times New Roman" w:hAnsi="Times New Roman" w:cs="Times New Roman"/>
          <w:color w:val="000000"/>
          <w:sz w:val="24"/>
          <w:szCs w:val="24"/>
          <w:lang w:val="en-GB"/>
        </w:rPr>
        <w:t>.</w:t>
      </w:r>
    </w:p>
    <w:p w14:paraId="1953DC69" w14:textId="714E547D" w:rsidR="00227B62" w:rsidRDefault="00227B62"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b/>
          <w:sz w:val="24"/>
          <w:szCs w:val="24"/>
          <w:lang w:val="en-GB"/>
        </w:rPr>
        <w:t>Keywords</w:t>
      </w:r>
      <w:r w:rsidRPr="00C7410A">
        <w:rPr>
          <w:rFonts w:ascii="Times New Roman" w:eastAsia="Times New Roman" w:hAnsi="Times New Roman" w:cs="Times New Roman"/>
          <w:sz w:val="24"/>
          <w:szCs w:val="24"/>
          <w:lang w:val="en-GB"/>
        </w:rPr>
        <w:t xml:space="preserve">: </w:t>
      </w:r>
      <w:r w:rsidR="00F0288D" w:rsidRPr="00C603A7">
        <w:rPr>
          <w:rFonts w:ascii="Times New Roman" w:eastAsia="Times New Roman" w:hAnsi="Times New Roman" w:cs="Times New Roman"/>
          <w:sz w:val="24"/>
          <w:szCs w:val="24"/>
          <w:lang w:val="en-GB"/>
        </w:rPr>
        <w:t>subsidy schemes</w:t>
      </w:r>
      <w:r w:rsidRPr="00C7410A">
        <w:rPr>
          <w:rFonts w:ascii="Times New Roman" w:eastAsia="Times New Roman" w:hAnsi="Times New Roman" w:cs="Times New Roman"/>
          <w:sz w:val="24"/>
          <w:szCs w:val="24"/>
          <w:lang w:val="en-GB"/>
        </w:rPr>
        <w:t xml:space="preserve">, </w:t>
      </w:r>
      <w:r w:rsidR="00900B9A">
        <w:rPr>
          <w:rFonts w:ascii="Times New Roman" w:eastAsia="Times New Roman" w:hAnsi="Times New Roman" w:cs="Times New Roman"/>
          <w:sz w:val="24"/>
          <w:szCs w:val="24"/>
          <w:lang w:val="en-GB"/>
        </w:rPr>
        <w:t>i</w:t>
      </w:r>
      <w:r w:rsidR="00F0288D" w:rsidRPr="00C603A7">
        <w:rPr>
          <w:rFonts w:ascii="Times New Roman" w:eastAsia="Times New Roman" w:hAnsi="Times New Roman" w:cs="Times New Roman"/>
          <w:sz w:val="24"/>
          <w:szCs w:val="24"/>
          <w:lang w:val="en-GB"/>
        </w:rPr>
        <w:t>mpact assessment</w:t>
      </w:r>
      <w:r w:rsidRPr="00C7410A">
        <w:rPr>
          <w:rFonts w:ascii="Times New Roman" w:eastAsia="Times New Roman" w:hAnsi="Times New Roman" w:cs="Times New Roman"/>
          <w:sz w:val="24"/>
          <w:szCs w:val="24"/>
          <w:lang w:val="en-GB"/>
        </w:rPr>
        <w:t xml:space="preserve">, </w:t>
      </w:r>
      <w:r w:rsidR="00F0288D" w:rsidRPr="00C603A7">
        <w:rPr>
          <w:rFonts w:ascii="Times New Roman" w:eastAsia="Times New Roman" w:hAnsi="Times New Roman" w:cs="Times New Roman"/>
          <w:sz w:val="24"/>
          <w:szCs w:val="24"/>
          <w:lang w:val="en-GB"/>
        </w:rPr>
        <w:t>machine learning</w:t>
      </w:r>
      <w:r w:rsidRPr="00C7410A">
        <w:rPr>
          <w:rFonts w:ascii="Times New Roman" w:eastAsia="Times New Roman" w:hAnsi="Times New Roman" w:cs="Times New Roman"/>
          <w:sz w:val="24"/>
          <w:szCs w:val="24"/>
          <w:lang w:val="en-GB"/>
        </w:rPr>
        <w:t xml:space="preserve">, </w:t>
      </w:r>
      <w:r w:rsidR="00F0288D" w:rsidRPr="00C603A7">
        <w:rPr>
          <w:rFonts w:ascii="Times New Roman" w:eastAsia="Times New Roman" w:hAnsi="Times New Roman" w:cs="Times New Roman"/>
          <w:sz w:val="24"/>
          <w:szCs w:val="24"/>
          <w:lang w:val="en-GB"/>
        </w:rPr>
        <w:t>greenhouse sector</w:t>
      </w:r>
      <w:r w:rsidR="00F0288D">
        <w:rPr>
          <w:rFonts w:ascii="Times New Roman" w:eastAsia="Times New Roman" w:hAnsi="Times New Roman" w:cs="Times New Roman"/>
          <w:sz w:val="24"/>
          <w:szCs w:val="24"/>
          <w:lang w:val="en-GB"/>
        </w:rPr>
        <w:t>,</w:t>
      </w:r>
      <w:r w:rsidR="00F0288D" w:rsidRPr="00C603A7">
        <w:rPr>
          <w:rFonts w:ascii="Times New Roman" w:eastAsia="Times New Roman" w:hAnsi="Times New Roman" w:cs="Times New Roman"/>
          <w:sz w:val="24"/>
          <w:szCs w:val="24"/>
          <w:lang w:val="en-GB"/>
        </w:rPr>
        <w:t xml:space="preserve"> </w:t>
      </w:r>
      <w:r w:rsidRPr="00C7410A">
        <w:rPr>
          <w:rFonts w:ascii="Times New Roman" w:eastAsia="Times New Roman" w:hAnsi="Times New Roman" w:cs="Times New Roman"/>
          <w:sz w:val="24"/>
          <w:szCs w:val="24"/>
          <w:lang w:val="en-GB"/>
        </w:rPr>
        <w:t>Albania</w:t>
      </w:r>
    </w:p>
    <w:p w14:paraId="650C2C6E" w14:textId="5FF92F1F"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75918F53" w14:textId="39C48582"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4342A132" w14:textId="1FA10EE9"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00C5C715" w14:textId="41CD7459"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01F54DA8" w14:textId="535CCCCA"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2A294CFB" w14:textId="70D3BD56"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0613888D" w14:textId="2B64DC16"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575C0278" w14:textId="4ADBCB4B"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6D12DABA" w14:textId="537210C3"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59F9FE1A" w14:textId="56A3EC0B"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69A34F50" w14:textId="38C4B8AF"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6DEDEB43" w14:textId="0D0FFB80" w:rsidR="00900B9A" w:rsidRDefault="00900B9A"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5C801AF8" w14:textId="77777777" w:rsidR="00701AD4" w:rsidRDefault="00701AD4"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7BD31E8F" w14:textId="28D2D813" w:rsidR="001C38C8" w:rsidRDefault="001C38C8"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3BB80C19" w14:textId="319C266B" w:rsidR="001C38C8" w:rsidRDefault="001C38C8" w:rsidP="00227B62">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1491B3EB" w14:textId="77777777" w:rsidR="001C38C8" w:rsidRPr="00C7410A" w:rsidRDefault="001C38C8" w:rsidP="001C38C8">
      <w:pPr>
        <w:numPr>
          <w:ilvl w:val="0"/>
          <w:numId w:val="6"/>
        </w:numPr>
        <w:spacing w:before="120" w:after="120" w:line="276" w:lineRule="auto"/>
        <w:jc w:val="both"/>
        <w:outlineLvl w:val="0"/>
        <w:rPr>
          <w:rFonts w:ascii="Times New Roman" w:eastAsia="Times New Roman" w:hAnsi="Times New Roman" w:cs="Times New Roman"/>
          <w:b/>
          <w:bCs/>
          <w:kern w:val="36"/>
          <w:sz w:val="24"/>
          <w:szCs w:val="24"/>
          <w:lang w:val="en-GB"/>
        </w:rPr>
      </w:pPr>
      <w:r w:rsidRPr="00C7410A">
        <w:rPr>
          <w:rFonts w:ascii="Times New Roman" w:eastAsia="Times New Roman" w:hAnsi="Times New Roman" w:cs="Times New Roman"/>
          <w:b/>
          <w:bCs/>
          <w:kern w:val="36"/>
          <w:sz w:val="28"/>
          <w:szCs w:val="24"/>
          <w:lang w:val="en-GB"/>
        </w:rPr>
        <w:lastRenderedPageBreak/>
        <w:t>Introduction</w:t>
      </w:r>
      <w:r w:rsidRPr="00C7410A">
        <w:rPr>
          <w:rFonts w:ascii="Times New Roman" w:eastAsia="Times New Roman" w:hAnsi="Times New Roman" w:cs="Times New Roman"/>
          <w:b/>
          <w:bCs/>
          <w:kern w:val="36"/>
          <w:sz w:val="24"/>
          <w:szCs w:val="24"/>
          <w:lang w:val="en-GB"/>
        </w:rPr>
        <w:t xml:space="preserve"> </w:t>
      </w:r>
    </w:p>
    <w:p w14:paraId="23A96255" w14:textId="3A5DFDF2" w:rsidR="00B55307" w:rsidRPr="00B55307"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Subsidy support can cause growth, improvement but also unintended negative consequences, particularly in the agriculture sector. Subsidies are necessary because they provide incentives to enable changes that cannot otherwise happen, but subsidies may also result in distortions and negative externalities (</w:t>
      </w:r>
      <w:proofErr w:type="spellStart"/>
      <w:r w:rsidRPr="00B55307">
        <w:rPr>
          <w:rFonts w:ascii="Times New Roman" w:eastAsia="Times New Roman" w:hAnsi="Times New Roman" w:cs="Times New Roman"/>
          <w:sz w:val="24"/>
          <w:szCs w:val="24"/>
          <w:lang w:val="en-GB"/>
        </w:rPr>
        <w:t>Baltzer</w:t>
      </w:r>
      <w:proofErr w:type="spellEnd"/>
      <w:r w:rsidRPr="00B55307">
        <w:rPr>
          <w:rFonts w:ascii="Times New Roman" w:eastAsia="Times New Roman" w:hAnsi="Times New Roman" w:cs="Times New Roman"/>
          <w:sz w:val="24"/>
          <w:szCs w:val="24"/>
          <w:lang w:val="en-GB"/>
        </w:rPr>
        <w:t xml:space="preserve"> and Hansen, 2011; Skreli et al, 2015). Therefore, it is important to assess impact of subsidies and obtain lessons learned. </w:t>
      </w:r>
    </w:p>
    <w:p w14:paraId="342E0FFA" w14:textId="77777777" w:rsidR="00B55307" w:rsidRPr="00B55307"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There is a rich literature on the impact of support policies (</w:t>
      </w:r>
      <w:proofErr w:type="spellStart"/>
      <w:r w:rsidRPr="00B55307">
        <w:rPr>
          <w:rFonts w:ascii="Times New Roman" w:eastAsia="Times New Roman" w:hAnsi="Times New Roman" w:cs="Times New Roman"/>
          <w:sz w:val="24"/>
          <w:szCs w:val="24"/>
          <w:lang w:val="en-GB"/>
        </w:rPr>
        <w:t>eg.</w:t>
      </w:r>
      <w:proofErr w:type="spellEnd"/>
      <w:r w:rsidRPr="00B55307">
        <w:rPr>
          <w:rFonts w:ascii="Times New Roman" w:eastAsia="Times New Roman" w:hAnsi="Times New Roman" w:cs="Times New Roman"/>
          <w:sz w:val="24"/>
          <w:szCs w:val="24"/>
          <w:lang w:val="en-GB"/>
        </w:rPr>
        <w:t xml:space="preserve"> subsidies) - many studies focus on EU CAP, considering the high levels of support provided to EU farmers. Often the results are mixed, depending on the context, type of support scheme and the indicator taken into consideration (for more see the following section). Nevertheless, there is a common understanding that support is crucial for the agriculture and rural development - current EU agriculture sector and rural landscape is largely also a result of EU CAP. </w:t>
      </w:r>
    </w:p>
    <w:p w14:paraId="6627AD07" w14:textId="77777777" w:rsidR="00B55307" w:rsidRPr="00B55307"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 xml:space="preserve">Support for the agriculture sector is highly important for countries where agriculture sector is crucial from socioeconomic </w:t>
      </w:r>
      <w:proofErr w:type="gramStart"/>
      <w:r w:rsidRPr="00B55307">
        <w:rPr>
          <w:rFonts w:ascii="Times New Roman" w:eastAsia="Times New Roman" w:hAnsi="Times New Roman" w:cs="Times New Roman"/>
          <w:sz w:val="24"/>
          <w:szCs w:val="24"/>
          <w:lang w:val="en-GB"/>
        </w:rPr>
        <w:t>prospective</w:t>
      </w:r>
      <w:proofErr w:type="gramEnd"/>
      <w:r w:rsidRPr="00B55307">
        <w:rPr>
          <w:rFonts w:ascii="Times New Roman" w:eastAsia="Times New Roman" w:hAnsi="Times New Roman" w:cs="Times New Roman"/>
          <w:sz w:val="24"/>
          <w:szCs w:val="24"/>
          <w:lang w:val="en-GB"/>
        </w:rPr>
        <w:t xml:space="preserve"> (e.g. in terms of contribution to income and employment). This paper focuses on the case of Albania, which is one of the least developed European economies, and at the same time, largely relies on the agriculture sector. In the recent years’ agriculture contributed with one fifth of the country’s GVA, and around 1/3 of employed people were employed in agriculture, the highest proportion of all the countries in the region (Volk et al., 2017; FAO, 2020). For these reasons, agriculture sector is considered by the Albanian government and donor community a priority sector for socio-economic development of the country as a whole and for the improvement of the rural livelihood. </w:t>
      </w:r>
    </w:p>
    <w:p w14:paraId="1B25E320" w14:textId="77777777" w:rsidR="00B55307" w:rsidRPr="00B55307"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 xml:space="preserve">Albania is on the road to accession to the EU. In this pre-accession period, the role of agricultural and rural development policy is crucial in order to withstand competitive pressures in the farming sector in the context of the integration toward the from the EU market. The economic and financial opportunities that EU provides through accessing to the single market as well as funding are incentives but also challenges due to the need for continual adjustment of national agriculture support policies. </w:t>
      </w:r>
    </w:p>
    <w:p w14:paraId="17870696" w14:textId="2BF3E762" w:rsidR="00B55307" w:rsidRPr="00B55307"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 xml:space="preserve">During 2007-2018, the budgetary support for agriculture has experienced fluctuations recording an average support value of EUR 29 million or approximately 1.5% of the sector GVA. The support is modest if compared with other WBCs and/or EU (Volk et al., 2017) where support is respectively 5% and 26% of the agriculture GVA. Thus, it is obvious that the level of funding is far below other countries in the region and EU, positioning Albanian famers in unequal position when compared to neighbouring countries. The support is also not (fully) aligned with the EU type of support. Albania does not apply decoupling support and neither area support. Moreover, direct payments (like Pillar 1) are limited only to few sectors and farm structural support (similar to Pillar 2) is fragmented and subject of frequent changes of both policy and eligibility criteria (Volk et al., 2017). The policy gaps are related to shortcomings existing in the operating supporting policy environment. Problems with land ownership insecurity, still non-operational major registers, and </w:t>
      </w:r>
      <w:r w:rsidRPr="00B55307">
        <w:rPr>
          <w:rFonts w:ascii="Times New Roman" w:eastAsia="Times New Roman" w:hAnsi="Times New Roman" w:cs="Times New Roman"/>
          <w:sz w:val="24"/>
          <w:szCs w:val="24"/>
          <w:lang w:val="en-GB"/>
        </w:rPr>
        <w:lastRenderedPageBreak/>
        <w:t>databases such as land and parcel register, livestock register/data base, farm register, wine cadastre, etc. represent (still pending) critical preconditions for a well-functioning scheme (Volk et al., 2017; Rama et al., 2018).</w:t>
      </w:r>
    </w:p>
    <w:p w14:paraId="321478AB" w14:textId="59DD2B93" w:rsidR="00B55307"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 xml:space="preserve">In the context of the very low level of financial support for agriculture and rural development in Albania compared to its neighbours and to EU, and weak supporting policy environment, there is a need to estimate the agriculture policy support in terms of impact and provide evidence for policy fine-tuning. This paper aims to assess the impact of Albanian government support policies on investments, farmers’ </w:t>
      </w:r>
      <w:r>
        <w:rPr>
          <w:rFonts w:ascii="Times New Roman" w:eastAsia="Times New Roman" w:hAnsi="Times New Roman" w:cs="Times New Roman"/>
          <w:sz w:val="24"/>
          <w:szCs w:val="24"/>
          <w:lang w:val="en-GB"/>
        </w:rPr>
        <w:t>revenues</w:t>
      </w:r>
      <w:r w:rsidRPr="00B5530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future investment plans</w:t>
      </w:r>
      <w:r w:rsidRPr="00B55307">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hired labour</w:t>
      </w:r>
      <w:r w:rsidRPr="00B55307">
        <w:rPr>
          <w:rFonts w:ascii="Times New Roman" w:eastAsia="Times New Roman" w:hAnsi="Times New Roman" w:cs="Times New Roman"/>
          <w:sz w:val="24"/>
          <w:szCs w:val="24"/>
          <w:lang w:val="en-GB"/>
        </w:rPr>
        <w:t>, using two approaches</w:t>
      </w:r>
      <w:r>
        <w:rPr>
          <w:rFonts w:ascii="Times New Roman" w:eastAsia="Times New Roman" w:hAnsi="Times New Roman" w:cs="Times New Roman"/>
          <w:sz w:val="24"/>
          <w:szCs w:val="24"/>
          <w:lang w:val="en-GB"/>
        </w:rPr>
        <w:t xml:space="preserve">. </w:t>
      </w:r>
    </w:p>
    <w:p w14:paraId="14DD9B38" w14:textId="028A982E" w:rsidR="00B55307" w:rsidRPr="00B55307"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 xml:space="preserve">In the first approach the impact is evaluated with causal forests which is an adaptation of the random forest algorithm of </w:t>
      </w:r>
      <w:proofErr w:type="spellStart"/>
      <w:r w:rsidRPr="00B55307">
        <w:rPr>
          <w:rFonts w:ascii="Times New Roman" w:eastAsia="Times New Roman" w:hAnsi="Times New Roman" w:cs="Times New Roman"/>
          <w:sz w:val="24"/>
          <w:szCs w:val="24"/>
          <w:lang w:val="en-GB"/>
        </w:rPr>
        <w:t>Breiman</w:t>
      </w:r>
      <w:proofErr w:type="spellEnd"/>
      <w:r w:rsidRPr="00B55307">
        <w:rPr>
          <w:rFonts w:ascii="Times New Roman" w:eastAsia="Times New Roman" w:hAnsi="Times New Roman" w:cs="Times New Roman"/>
          <w:sz w:val="24"/>
          <w:szCs w:val="24"/>
          <w:lang w:val="en-GB"/>
        </w:rPr>
        <w:t xml:space="preserve"> (2001) to the problem treatment effect estimation. Whereas, in the second approach matching is used to match beneficiaries and non-beneficiaries on observables (e.g., family size, educational level, age, etc.) to make them as similar as possible. In other words, to equate (or "balance") the distribution of covariates in the treated and control groups, so that the only thing that they would differ is treatment (benefiting from the irrigation project). Then, to assess subsidy impact the average treatment effect (ATE) is estimated by regressing the treatment and covariates used during matching on the outcome of interest.</w:t>
      </w:r>
    </w:p>
    <w:p w14:paraId="5665F93C" w14:textId="77777777" w:rsidR="00B55307" w:rsidRPr="00B55307"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The current paper contributes to the impact assessment literature in two ways: (i) using comparative methodological analysis, by combining classical tools with latest approaches (ii) assessing the financial support policies (both investment and direct support measures impact in an important sector of an EU candidate country, to provide lessons learned.</w:t>
      </w:r>
    </w:p>
    <w:p w14:paraId="211746B8" w14:textId="5C3A51DF" w:rsidR="00B55307" w:rsidRPr="00B55307"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 xml:space="preserve">The focus of analysis is the </w:t>
      </w:r>
      <w:r>
        <w:rPr>
          <w:rFonts w:ascii="Times New Roman" w:eastAsia="Times New Roman" w:hAnsi="Times New Roman" w:cs="Times New Roman"/>
          <w:sz w:val="24"/>
          <w:szCs w:val="24"/>
          <w:lang w:val="en-GB"/>
        </w:rPr>
        <w:t>greenhouse vegetable</w:t>
      </w:r>
      <w:r w:rsidRPr="00B55307">
        <w:rPr>
          <w:rFonts w:ascii="Times New Roman" w:eastAsia="Times New Roman" w:hAnsi="Times New Roman" w:cs="Times New Roman"/>
          <w:sz w:val="24"/>
          <w:szCs w:val="24"/>
          <w:lang w:val="en-GB"/>
        </w:rPr>
        <w:t>, which is the leading agri-food sector in Albania</w:t>
      </w:r>
      <w:r w:rsidR="00F055B7">
        <w:rPr>
          <w:rFonts w:ascii="Times New Roman" w:eastAsia="Times New Roman" w:hAnsi="Times New Roman" w:cs="Times New Roman"/>
          <w:sz w:val="24"/>
          <w:szCs w:val="24"/>
          <w:lang w:val="en-GB"/>
        </w:rPr>
        <w:t>. The sector has considerable export potential and based on FAOSTAT data for 2020 Albania is ranked 52</w:t>
      </w:r>
      <w:r w:rsidR="00F055B7" w:rsidRPr="00561FC0">
        <w:rPr>
          <w:rFonts w:ascii="Times New Roman" w:eastAsia="Times New Roman" w:hAnsi="Times New Roman" w:cs="Times New Roman"/>
          <w:sz w:val="24"/>
          <w:szCs w:val="24"/>
          <w:vertAlign w:val="superscript"/>
          <w:lang w:val="en-GB"/>
        </w:rPr>
        <w:t>nd</w:t>
      </w:r>
      <w:r w:rsidR="00F055B7">
        <w:rPr>
          <w:rFonts w:ascii="Times New Roman" w:eastAsia="Times New Roman" w:hAnsi="Times New Roman" w:cs="Times New Roman"/>
          <w:sz w:val="24"/>
          <w:szCs w:val="24"/>
          <w:lang w:val="en-GB"/>
        </w:rPr>
        <w:t xml:space="preserve"> out of 135 countries in terms of tomatoes exports</w:t>
      </w:r>
      <w:r w:rsidRPr="00B55307">
        <w:rPr>
          <w:rFonts w:ascii="Times New Roman" w:eastAsia="Times New Roman" w:hAnsi="Times New Roman" w:cs="Times New Roman"/>
          <w:sz w:val="24"/>
          <w:szCs w:val="24"/>
          <w:lang w:val="en-GB"/>
        </w:rPr>
        <w:t xml:space="preserve">. </w:t>
      </w:r>
      <w:r w:rsidR="00F055B7">
        <w:rPr>
          <w:rFonts w:ascii="Times New Roman" w:eastAsia="Times New Roman" w:hAnsi="Times New Roman" w:cs="Times New Roman"/>
          <w:sz w:val="24"/>
          <w:szCs w:val="24"/>
          <w:lang w:val="en-GB"/>
        </w:rPr>
        <w:t>Moreover</w:t>
      </w:r>
      <w:r w:rsidRPr="00B55307">
        <w:rPr>
          <w:rFonts w:ascii="Times New Roman" w:eastAsia="Times New Roman" w:hAnsi="Times New Roman" w:cs="Times New Roman"/>
          <w:sz w:val="24"/>
          <w:szCs w:val="24"/>
          <w:lang w:val="en-GB"/>
        </w:rPr>
        <w:t>,</w:t>
      </w:r>
      <w:r w:rsidR="00F055B7">
        <w:rPr>
          <w:rFonts w:ascii="Times New Roman" w:eastAsia="Times New Roman" w:hAnsi="Times New Roman" w:cs="Times New Roman"/>
          <w:sz w:val="24"/>
          <w:szCs w:val="24"/>
          <w:lang w:val="en-GB"/>
        </w:rPr>
        <w:t xml:space="preserve"> the greenhouse vegetable</w:t>
      </w:r>
      <w:r w:rsidRPr="00B55307">
        <w:rPr>
          <w:rFonts w:ascii="Times New Roman" w:eastAsia="Times New Roman" w:hAnsi="Times New Roman" w:cs="Times New Roman"/>
          <w:sz w:val="24"/>
          <w:szCs w:val="24"/>
          <w:lang w:val="en-GB"/>
        </w:rPr>
        <w:t xml:space="preserve"> sector has been considered a priority sector for support from government. </w:t>
      </w:r>
    </w:p>
    <w:p w14:paraId="35C3908B" w14:textId="3ACB9F65" w:rsidR="001C38C8" w:rsidRDefault="00B55307">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B55307">
        <w:rPr>
          <w:rFonts w:ascii="Times New Roman" w:eastAsia="Times New Roman" w:hAnsi="Times New Roman" w:cs="Times New Roman"/>
          <w:sz w:val="24"/>
          <w:szCs w:val="24"/>
          <w:lang w:val="en-GB"/>
        </w:rPr>
        <w:t>The remainder of the paper is structured as follows. The second section provides a literature review, the third section describes methods employed to assess the impact. The main results from the quantitative analysis of the impact assessment are presented in the section four, while section five concludes the paper.</w:t>
      </w:r>
    </w:p>
    <w:p w14:paraId="1644513D" w14:textId="07369DE5" w:rsidR="001C38C8" w:rsidRDefault="001C38C8" w:rsidP="001C38C8">
      <w:pPr>
        <w:numPr>
          <w:ilvl w:val="0"/>
          <w:numId w:val="6"/>
        </w:numPr>
        <w:spacing w:before="120" w:after="120" w:line="276" w:lineRule="auto"/>
        <w:jc w:val="both"/>
        <w:outlineLvl w:val="0"/>
        <w:rPr>
          <w:rFonts w:ascii="Times New Roman" w:eastAsia="Times New Roman" w:hAnsi="Times New Roman" w:cs="Times New Roman"/>
          <w:b/>
          <w:bCs/>
          <w:kern w:val="36"/>
          <w:sz w:val="28"/>
          <w:szCs w:val="28"/>
          <w:lang w:val="en-GB"/>
        </w:rPr>
      </w:pPr>
      <w:r w:rsidRPr="00EE620E">
        <w:rPr>
          <w:rFonts w:ascii="Times New Roman" w:eastAsia="Times New Roman" w:hAnsi="Times New Roman" w:cs="Times New Roman"/>
          <w:b/>
          <w:bCs/>
          <w:kern w:val="36"/>
          <w:sz w:val="28"/>
          <w:szCs w:val="28"/>
          <w:lang w:val="en-GB"/>
        </w:rPr>
        <w:t>Literature review</w:t>
      </w:r>
      <w:r w:rsidRPr="00561FC0">
        <w:rPr>
          <w:rFonts w:ascii="Times New Roman" w:eastAsia="Times New Roman" w:hAnsi="Times New Roman" w:cs="Times New Roman"/>
          <w:b/>
          <w:bCs/>
          <w:kern w:val="36"/>
          <w:sz w:val="28"/>
          <w:szCs w:val="28"/>
          <w:lang w:val="en-GB"/>
        </w:rPr>
        <w:t xml:space="preserve"> </w:t>
      </w:r>
    </w:p>
    <w:p w14:paraId="646C9541" w14:textId="006851FA" w:rsidR="00AF2B9C" w:rsidRPr="00AF2B9C" w:rsidRDefault="00AF2B9C" w:rsidP="00AF2B9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AF2B9C">
        <w:rPr>
          <w:rFonts w:ascii="Times New Roman" w:eastAsia="Times New Roman" w:hAnsi="Times New Roman" w:cs="Times New Roman"/>
          <w:sz w:val="24"/>
          <w:szCs w:val="24"/>
          <w:lang w:val="en-GB"/>
        </w:rPr>
        <w:t>The effect of subsidies on technical efficiency remains an open empirical question.  Kumbhakar</w:t>
      </w:r>
      <w:r w:rsidR="002514EA">
        <w:rPr>
          <w:rFonts w:ascii="Times New Roman" w:eastAsia="Times New Roman" w:hAnsi="Times New Roman" w:cs="Times New Roman"/>
          <w:sz w:val="24"/>
          <w:szCs w:val="24"/>
          <w:lang w:val="en-GB"/>
        </w:rPr>
        <w:t xml:space="preserve"> and</w:t>
      </w:r>
      <w:r w:rsidRPr="00AF2B9C">
        <w:rPr>
          <w:rFonts w:ascii="Times New Roman" w:eastAsia="Times New Roman" w:hAnsi="Times New Roman" w:cs="Times New Roman"/>
          <w:sz w:val="24"/>
          <w:szCs w:val="24"/>
          <w:lang w:val="en-GB"/>
        </w:rPr>
        <w:t xml:space="preserve"> Lien. (2010) emphasise that theoretically, an increase in coupled subsidy payment will reduce farm productivity if it provides an incentive to farmers to use less input but may create a positive influence if the subsidies provide farmers with an incentive to innovate or switch to new technologies. An additional debate rests on the share of subsidies to overall incomes. If subsidies increase being a certain level farmers prefer more leisure time with a higher share of income from subsidies. The latter, is not an issue of concern for developing countries, considering the limited budgetary support provided as a share of GDP compared to developed countries.</w:t>
      </w:r>
    </w:p>
    <w:p w14:paraId="76F496B2" w14:textId="77777777" w:rsidR="00AF2B9C" w:rsidRDefault="00AF2B9C" w:rsidP="00AF2B9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AF2B9C">
        <w:rPr>
          <w:rFonts w:ascii="Times New Roman" w:eastAsia="Times New Roman" w:hAnsi="Times New Roman" w:cs="Times New Roman"/>
          <w:sz w:val="24"/>
          <w:szCs w:val="24"/>
          <w:lang w:val="en-GB"/>
        </w:rPr>
        <w:lastRenderedPageBreak/>
        <w:t>There is a growing body of literature on the impact of support policies (</w:t>
      </w:r>
      <w:proofErr w:type="spellStart"/>
      <w:r w:rsidRPr="00AF2B9C">
        <w:rPr>
          <w:rFonts w:ascii="Times New Roman" w:eastAsia="Times New Roman" w:hAnsi="Times New Roman" w:cs="Times New Roman"/>
          <w:sz w:val="24"/>
          <w:szCs w:val="24"/>
          <w:lang w:val="en-GB"/>
        </w:rPr>
        <w:t>eg.</w:t>
      </w:r>
      <w:proofErr w:type="spellEnd"/>
      <w:r w:rsidRPr="00AF2B9C">
        <w:rPr>
          <w:rFonts w:ascii="Times New Roman" w:eastAsia="Times New Roman" w:hAnsi="Times New Roman" w:cs="Times New Roman"/>
          <w:sz w:val="24"/>
          <w:szCs w:val="24"/>
          <w:lang w:val="en-GB"/>
        </w:rPr>
        <w:t xml:space="preserve"> subsidies) all over the world. Major part of studies aims to estimate the impact of schemes after a certain reform. Considering the type of schemes are differing between sectors and between countries and since major part of them have been in continual change, it is difficult to make a review of their findings using a common framework. </w:t>
      </w:r>
    </w:p>
    <w:p w14:paraId="2A2E5240" w14:textId="77777777" w:rsidR="00AF2B9C" w:rsidRDefault="00AF2B9C" w:rsidP="00AF2B9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AF2B9C">
        <w:rPr>
          <w:rFonts w:ascii="Times New Roman" w:eastAsia="Times New Roman" w:hAnsi="Times New Roman" w:cs="Times New Roman"/>
          <w:sz w:val="24"/>
          <w:szCs w:val="24"/>
          <w:lang w:val="en-GB"/>
        </w:rPr>
        <w:t>Many studies focus on EU CAP, considering the high levels of support provided to EU farmers. For instance, several direct schemes were used in EU in early 1990s.</w:t>
      </w:r>
      <w:r>
        <w:rPr>
          <w:rFonts w:ascii="Times New Roman" w:eastAsia="Times New Roman" w:hAnsi="Times New Roman" w:cs="Times New Roman"/>
          <w:sz w:val="24"/>
          <w:szCs w:val="24"/>
          <w:lang w:val="en-GB"/>
        </w:rPr>
        <w:t xml:space="preserve"> However, d</w:t>
      </w:r>
      <w:r w:rsidRPr="00AF2B9C">
        <w:rPr>
          <w:rFonts w:ascii="Times New Roman" w:eastAsia="Times New Roman" w:hAnsi="Times New Roman" w:cs="Times New Roman"/>
          <w:sz w:val="24"/>
          <w:szCs w:val="24"/>
          <w:lang w:val="en-GB"/>
        </w:rPr>
        <w:t xml:space="preserve">uring the last 20 years, agricultural policy in EU has aimed at reducing price support and orienting support policies toward non-product-specific support (depending on acreage and herd sizes, but not on produced volume) and decoupled payments (not related to the production at all). Coupled voluntary support still exist and is supposed to compensate for cost disadvantages existing in areas with natural constrains. Headage payments were differentiated according to countries orientation while farmland acreage payment is transformed into decoupled support. Then later, after the reforms of 2000, most schemes were transformed into decouple schemes. Therefore, the debate of the economics on the impact of schemes is based frequently in a contrasting context. </w:t>
      </w:r>
      <w:r w:rsidR="00EE620E" w:rsidRPr="00C7410A">
        <w:rPr>
          <w:rFonts w:ascii="Times New Roman" w:eastAsia="Times New Roman" w:hAnsi="Times New Roman" w:cs="Times New Roman"/>
          <w:sz w:val="24"/>
          <w:szCs w:val="24"/>
          <w:lang w:val="en-GB"/>
        </w:rPr>
        <w:t xml:space="preserve"> </w:t>
      </w:r>
    </w:p>
    <w:p w14:paraId="53457D4C" w14:textId="4468E925" w:rsidR="000B190C" w:rsidRPr="000B190C" w:rsidRDefault="000B190C" w:rsidP="000B190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0B190C">
        <w:rPr>
          <w:rFonts w:ascii="Times New Roman" w:eastAsia="Times New Roman" w:hAnsi="Times New Roman" w:cs="Times New Roman"/>
          <w:sz w:val="24"/>
          <w:szCs w:val="24"/>
          <w:lang w:val="en-GB"/>
        </w:rPr>
        <w:t xml:space="preserve">Kumbhakar and Lien (2010) emphasise that both coupled and decoupled subsidies can have an impact in prices, incomes, and labour. They can change the relative prices of inputs and outputs, changing the level of incomes and thus altering the labour distribution and investment decisions, thus influencing farm growth and exit. McCloud </w:t>
      </w:r>
      <w:r w:rsidRPr="00561FC0">
        <w:rPr>
          <w:rFonts w:ascii="Times New Roman" w:eastAsia="Times New Roman" w:hAnsi="Times New Roman" w:cs="Times New Roman"/>
          <w:i/>
          <w:iCs/>
          <w:sz w:val="24"/>
          <w:szCs w:val="24"/>
          <w:lang w:val="en-GB"/>
        </w:rPr>
        <w:t>et al</w:t>
      </w:r>
      <w:r w:rsidR="002514EA">
        <w:rPr>
          <w:rFonts w:ascii="Times New Roman" w:eastAsia="Times New Roman" w:hAnsi="Times New Roman" w:cs="Times New Roman"/>
          <w:sz w:val="24"/>
          <w:szCs w:val="24"/>
          <w:lang w:val="en-GB"/>
        </w:rPr>
        <w:t>.</w:t>
      </w:r>
      <w:r w:rsidRPr="000B190C">
        <w:rPr>
          <w:rFonts w:ascii="Times New Roman" w:eastAsia="Times New Roman" w:hAnsi="Times New Roman" w:cs="Times New Roman"/>
          <w:sz w:val="24"/>
          <w:szCs w:val="24"/>
          <w:lang w:val="en-GB"/>
        </w:rPr>
        <w:t xml:space="preserve"> (2008) suggest that subsidies drive productivity through efficiency and input productivities.</w:t>
      </w:r>
    </w:p>
    <w:p w14:paraId="2BE4BE6D" w14:textId="221F1A7A" w:rsidR="000B190C" w:rsidRPr="000B190C" w:rsidRDefault="000B190C" w:rsidP="000B190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Some</w:t>
      </w:r>
      <w:r w:rsidRPr="000B190C">
        <w:rPr>
          <w:rFonts w:ascii="Times New Roman" w:eastAsia="Times New Roman" w:hAnsi="Times New Roman" w:cs="Times New Roman"/>
          <w:sz w:val="24"/>
          <w:szCs w:val="24"/>
          <w:lang w:val="en-GB"/>
        </w:rPr>
        <w:t xml:space="preserve"> studies shows that a higher degree of coupling in EU CAP farm support negatively affects farm efficiency (Zhu and </w:t>
      </w:r>
      <w:proofErr w:type="spellStart"/>
      <w:r w:rsidRPr="000B190C">
        <w:rPr>
          <w:rFonts w:ascii="Times New Roman" w:eastAsia="Times New Roman" w:hAnsi="Times New Roman" w:cs="Times New Roman"/>
          <w:sz w:val="24"/>
          <w:szCs w:val="24"/>
          <w:lang w:val="en-GB"/>
        </w:rPr>
        <w:t>Milán</w:t>
      </w:r>
      <w:proofErr w:type="spellEnd"/>
      <w:r w:rsidRPr="000B190C">
        <w:rPr>
          <w:rFonts w:ascii="Times New Roman" w:eastAsia="Times New Roman" w:hAnsi="Times New Roman" w:cs="Times New Roman"/>
          <w:sz w:val="24"/>
          <w:szCs w:val="24"/>
          <w:lang w:val="en-GB"/>
        </w:rPr>
        <w:t xml:space="preserve">, 2012). On the other hand, </w:t>
      </w:r>
      <w:proofErr w:type="spellStart"/>
      <w:r w:rsidRPr="000B190C">
        <w:rPr>
          <w:rFonts w:ascii="Times New Roman" w:eastAsia="Times New Roman" w:hAnsi="Times New Roman" w:cs="Times New Roman"/>
          <w:sz w:val="24"/>
          <w:szCs w:val="24"/>
          <w:lang w:val="en-GB"/>
        </w:rPr>
        <w:t>Kazukauskas</w:t>
      </w:r>
      <w:proofErr w:type="spellEnd"/>
      <w:r w:rsidRPr="000B190C">
        <w:rPr>
          <w:rFonts w:ascii="Times New Roman" w:eastAsia="Times New Roman" w:hAnsi="Times New Roman" w:cs="Times New Roman"/>
          <w:sz w:val="24"/>
          <w:szCs w:val="24"/>
          <w:lang w:val="en-GB"/>
        </w:rPr>
        <w:t xml:space="preserve"> et al. (2013) found that policy changes in terms of de-coupling happening in 2001-2007 has created conditions for dis-investments and exit out of agriculture. Similar findings were found also by </w:t>
      </w:r>
      <w:proofErr w:type="spellStart"/>
      <w:r w:rsidRPr="000B190C">
        <w:rPr>
          <w:rFonts w:ascii="Times New Roman" w:eastAsia="Times New Roman" w:hAnsi="Times New Roman" w:cs="Times New Roman"/>
          <w:sz w:val="24"/>
          <w:szCs w:val="24"/>
          <w:lang w:val="en-GB"/>
        </w:rPr>
        <w:t>Latruffe</w:t>
      </w:r>
      <w:proofErr w:type="spellEnd"/>
      <w:r w:rsidRPr="000B190C">
        <w:rPr>
          <w:rFonts w:ascii="Times New Roman" w:eastAsia="Times New Roman" w:hAnsi="Times New Roman" w:cs="Times New Roman"/>
          <w:sz w:val="24"/>
          <w:szCs w:val="24"/>
          <w:lang w:val="en-GB"/>
        </w:rPr>
        <w:t xml:space="preserve"> et al (2011) in all countries considered except Denmark. </w:t>
      </w:r>
      <w:proofErr w:type="spellStart"/>
      <w:r w:rsidRPr="000B190C">
        <w:rPr>
          <w:rFonts w:ascii="Times New Roman" w:eastAsia="Times New Roman" w:hAnsi="Times New Roman" w:cs="Times New Roman"/>
          <w:sz w:val="24"/>
          <w:szCs w:val="24"/>
          <w:lang w:val="en-GB"/>
        </w:rPr>
        <w:t>Lakner</w:t>
      </w:r>
      <w:proofErr w:type="spellEnd"/>
      <w:r w:rsidRPr="000B190C">
        <w:rPr>
          <w:rFonts w:ascii="Times New Roman" w:eastAsia="Times New Roman" w:hAnsi="Times New Roman" w:cs="Times New Roman"/>
          <w:sz w:val="24"/>
          <w:szCs w:val="24"/>
          <w:lang w:val="en-GB"/>
        </w:rPr>
        <w:t xml:space="preserve"> (2009) also found that the agri-environmental payments show a negative effect on efficiency. A third group of authors disregard the type of schemes while focus on changing patterns in the farm. Empirical research has shown that the composition of subsidies has a much smaller effect on efficiency than does the composition of total farm income (Zhu and </w:t>
      </w:r>
      <w:proofErr w:type="spellStart"/>
      <w:r w:rsidRPr="000B190C">
        <w:rPr>
          <w:rFonts w:ascii="Times New Roman" w:eastAsia="Times New Roman" w:hAnsi="Times New Roman" w:cs="Times New Roman"/>
          <w:sz w:val="24"/>
          <w:szCs w:val="24"/>
          <w:lang w:val="en-GB"/>
        </w:rPr>
        <w:t>Milán</w:t>
      </w:r>
      <w:proofErr w:type="spellEnd"/>
      <w:r w:rsidRPr="000B190C">
        <w:rPr>
          <w:rFonts w:ascii="Times New Roman" w:eastAsia="Times New Roman" w:hAnsi="Times New Roman" w:cs="Times New Roman"/>
          <w:sz w:val="24"/>
          <w:szCs w:val="24"/>
          <w:lang w:val="en-GB"/>
        </w:rPr>
        <w:t>, 2012).</w:t>
      </w:r>
    </w:p>
    <w:p w14:paraId="016A3212" w14:textId="7B6C26A3" w:rsidR="000B190C" w:rsidRPr="000B190C" w:rsidRDefault="000B190C" w:rsidP="000B190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0B190C">
        <w:rPr>
          <w:rFonts w:ascii="Times New Roman" w:eastAsia="Times New Roman" w:hAnsi="Times New Roman" w:cs="Times New Roman"/>
          <w:sz w:val="24"/>
          <w:szCs w:val="24"/>
          <w:lang w:val="en-GB"/>
        </w:rPr>
        <w:t xml:space="preserve">An important area of studies focuses on analysing the impact of EU CAP on income levels. Early analyses of Frawley and Keeney (2000) show that payments in the </w:t>
      </w:r>
      <w:r w:rsidR="003D671E">
        <w:rPr>
          <w:rFonts w:ascii="Times New Roman" w:eastAsia="Times New Roman" w:hAnsi="Times New Roman" w:cs="Times New Roman"/>
          <w:sz w:val="24"/>
          <w:szCs w:val="24"/>
          <w:lang w:val="en-GB"/>
        </w:rPr>
        <w:t>d</w:t>
      </w:r>
      <w:r w:rsidRPr="000B190C">
        <w:rPr>
          <w:rFonts w:ascii="Times New Roman" w:eastAsia="Times New Roman" w:hAnsi="Times New Roman" w:cs="Times New Roman"/>
          <w:sz w:val="24"/>
          <w:szCs w:val="24"/>
          <w:lang w:val="en-GB"/>
        </w:rPr>
        <w:t xml:space="preserve">isadvantaged </w:t>
      </w:r>
      <w:r w:rsidR="003D671E">
        <w:rPr>
          <w:rFonts w:ascii="Times New Roman" w:eastAsia="Times New Roman" w:hAnsi="Times New Roman" w:cs="Times New Roman"/>
          <w:sz w:val="24"/>
          <w:szCs w:val="24"/>
          <w:lang w:val="en-GB"/>
        </w:rPr>
        <w:t>a</w:t>
      </w:r>
      <w:r w:rsidRPr="000B190C">
        <w:rPr>
          <w:rFonts w:ascii="Times New Roman" w:eastAsia="Times New Roman" w:hAnsi="Times New Roman" w:cs="Times New Roman"/>
          <w:sz w:val="24"/>
          <w:szCs w:val="24"/>
          <w:lang w:val="en-GB"/>
        </w:rPr>
        <w:t xml:space="preserve">reas were the most effective measures in favouring income distribution equity. Other schemes, not directly related to incomes revealed that cross-compliance schemes (REPS and extensification) had a more moderate effect in terms of equity while the arable aid payments contributed least to farm income equity. </w:t>
      </w:r>
      <w:proofErr w:type="spellStart"/>
      <w:r w:rsidRPr="000B190C">
        <w:rPr>
          <w:rFonts w:ascii="Times New Roman" w:eastAsia="Times New Roman" w:hAnsi="Times New Roman" w:cs="Times New Roman"/>
          <w:sz w:val="24"/>
          <w:szCs w:val="24"/>
          <w:lang w:val="en-GB"/>
        </w:rPr>
        <w:t>Severini</w:t>
      </w:r>
      <w:proofErr w:type="spellEnd"/>
      <w:r w:rsidRPr="000B190C">
        <w:rPr>
          <w:rFonts w:ascii="Times New Roman" w:eastAsia="Times New Roman" w:hAnsi="Times New Roman" w:cs="Times New Roman"/>
          <w:sz w:val="24"/>
          <w:szCs w:val="24"/>
          <w:lang w:val="en-GB"/>
        </w:rPr>
        <w:t xml:space="preserve"> et al. (2016) show that the income stabilizing role of direct payments increases as the share of direct payments in total farm receipts increases. </w:t>
      </w:r>
      <w:proofErr w:type="spellStart"/>
      <w:r w:rsidRPr="000B190C">
        <w:rPr>
          <w:rFonts w:ascii="Times New Roman" w:eastAsia="Times New Roman" w:hAnsi="Times New Roman" w:cs="Times New Roman"/>
          <w:sz w:val="24"/>
          <w:szCs w:val="24"/>
          <w:lang w:val="en-GB"/>
        </w:rPr>
        <w:t>Bojnec</w:t>
      </w:r>
      <w:proofErr w:type="spellEnd"/>
      <w:r w:rsidRPr="000B190C">
        <w:rPr>
          <w:rFonts w:ascii="Times New Roman" w:eastAsia="Times New Roman" w:hAnsi="Times New Roman" w:cs="Times New Roman"/>
          <w:sz w:val="24"/>
          <w:szCs w:val="24"/>
          <w:lang w:val="en-GB"/>
        </w:rPr>
        <w:t xml:space="preserve"> and </w:t>
      </w:r>
      <w:proofErr w:type="spellStart"/>
      <w:r w:rsidRPr="000B190C">
        <w:rPr>
          <w:rFonts w:ascii="Times New Roman" w:eastAsia="Times New Roman" w:hAnsi="Times New Roman" w:cs="Times New Roman"/>
          <w:sz w:val="24"/>
          <w:szCs w:val="24"/>
          <w:lang w:val="en-GB"/>
        </w:rPr>
        <w:t>Ferto</w:t>
      </w:r>
      <w:proofErr w:type="spellEnd"/>
      <w:r w:rsidRPr="000B190C">
        <w:rPr>
          <w:rFonts w:ascii="Times New Roman" w:eastAsia="Times New Roman" w:hAnsi="Times New Roman" w:cs="Times New Roman"/>
          <w:sz w:val="24"/>
          <w:szCs w:val="24"/>
          <w:lang w:val="en-GB"/>
        </w:rPr>
        <w:t xml:space="preserve"> (2019) found for the case of Hungary and Slovenia that CAP subsidies represent a stable source of farm income, are increasing the level of farm income, but are not stabilising farm income. CAP subsidies contribute to stabilising farm income mainly because they are less variable than the remaining </w:t>
      </w:r>
      <w:r w:rsidRPr="000B190C">
        <w:rPr>
          <w:rFonts w:ascii="Times New Roman" w:eastAsia="Times New Roman" w:hAnsi="Times New Roman" w:cs="Times New Roman"/>
          <w:sz w:val="24"/>
          <w:szCs w:val="24"/>
          <w:lang w:val="en-GB"/>
        </w:rPr>
        <w:lastRenderedPageBreak/>
        <w:t xml:space="preserve">sources of income and thus mitigate the variability of farm income over time, however they are less likely to serve as an efficient tool for stabilising it. In addition, income losses and land </w:t>
      </w:r>
      <w:r w:rsidR="003D671E" w:rsidRPr="000B190C">
        <w:rPr>
          <w:rFonts w:ascii="Times New Roman" w:eastAsia="Times New Roman" w:hAnsi="Times New Roman" w:cs="Times New Roman"/>
          <w:sz w:val="24"/>
          <w:szCs w:val="24"/>
          <w:lang w:val="en-GB"/>
        </w:rPr>
        <w:t>abandonment</w:t>
      </w:r>
      <w:r w:rsidRPr="000B190C">
        <w:rPr>
          <w:rFonts w:ascii="Times New Roman" w:eastAsia="Times New Roman" w:hAnsi="Times New Roman" w:cs="Times New Roman"/>
          <w:sz w:val="24"/>
          <w:szCs w:val="24"/>
          <w:lang w:val="en-GB"/>
        </w:rPr>
        <w:t xml:space="preserve"> were witnessed with the introduction of</w:t>
      </w:r>
      <w:r w:rsidR="003E6BF7">
        <w:rPr>
          <w:rFonts w:ascii="Times New Roman" w:eastAsia="Times New Roman" w:hAnsi="Times New Roman" w:cs="Times New Roman"/>
          <w:sz w:val="24"/>
          <w:szCs w:val="24"/>
          <w:lang w:val="en-GB"/>
        </w:rPr>
        <w:t xml:space="preserve"> </w:t>
      </w:r>
      <w:r w:rsidRPr="000B190C">
        <w:rPr>
          <w:rFonts w:ascii="Times New Roman" w:eastAsia="Times New Roman" w:hAnsi="Times New Roman" w:cs="Times New Roman"/>
          <w:sz w:val="24"/>
          <w:szCs w:val="24"/>
          <w:lang w:val="en-GB"/>
        </w:rPr>
        <w:t>agri-environmental schemes (</w:t>
      </w:r>
      <w:proofErr w:type="spellStart"/>
      <w:r w:rsidRPr="000B190C">
        <w:rPr>
          <w:rFonts w:ascii="Times New Roman" w:eastAsia="Times New Roman" w:hAnsi="Times New Roman" w:cs="Times New Roman"/>
          <w:sz w:val="24"/>
          <w:szCs w:val="24"/>
          <w:lang w:val="en-GB"/>
        </w:rPr>
        <w:t>Acs</w:t>
      </w:r>
      <w:proofErr w:type="spellEnd"/>
      <w:r w:rsidRPr="000B190C">
        <w:rPr>
          <w:rFonts w:ascii="Times New Roman" w:eastAsia="Times New Roman" w:hAnsi="Times New Roman" w:cs="Times New Roman"/>
          <w:sz w:val="24"/>
          <w:szCs w:val="24"/>
          <w:lang w:val="en-GB"/>
        </w:rPr>
        <w:t xml:space="preserve"> et al, 2010). </w:t>
      </w:r>
    </w:p>
    <w:p w14:paraId="620F812D" w14:textId="5F88C1A0" w:rsidR="000B190C" w:rsidRPr="000B190C" w:rsidRDefault="003D671E" w:rsidP="000B190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w:t>
      </w:r>
      <w:r w:rsidR="000B190C" w:rsidRPr="000B190C">
        <w:rPr>
          <w:rFonts w:ascii="Times New Roman" w:eastAsia="Times New Roman" w:hAnsi="Times New Roman" w:cs="Times New Roman"/>
          <w:sz w:val="24"/>
          <w:szCs w:val="24"/>
          <w:lang w:val="en-GB"/>
        </w:rPr>
        <w:t xml:space="preserve">ubsidy schemes are expected to affect farm investment. Indeed, there are not many studies on investments effects. </w:t>
      </w:r>
      <w:proofErr w:type="spellStart"/>
      <w:r w:rsidR="000B190C" w:rsidRPr="000B190C">
        <w:rPr>
          <w:rFonts w:ascii="Times New Roman" w:eastAsia="Times New Roman" w:hAnsi="Times New Roman" w:cs="Times New Roman"/>
          <w:sz w:val="24"/>
          <w:szCs w:val="24"/>
          <w:lang w:val="en-GB"/>
        </w:rPr>
        <w:t>Reise</w:t>
      </w:r>
      <w:proofErr w:type="spellEnd"/>
      <w:r w:rsidR="000B190C" w:rsidRPr="000B190C">
        <w:rPr>
          <w:rFonts w:ascii="Times New Roman" w:eastAsia="Times New Roman" w:hAnsi="Times New Roman" w:cs="Times New Roman"/>
          <w:sz w:val="24"/>
          <w:szCs w:val="24"/>
          <w:lang w:val="en-GB"/>
        </w:rPr>
        <w:t xml:space="preserve"> </w:t>
      </w:r>
      <w:r w:rsidR="000B190C" w:rsidRPr="00561FC0">
        <w:rPr>
          <w:rFonts w:ascii="Times New Roman" w:eastAsia="Times New Roman" w:hAnsi="Times New Roman" w:cs="Times New Roman"/>
          <w:i/>
          <w:iCs/>
          <w:sz w:val="24"/>
          <w:szCs w:val="24"/>
          <w:lang w:val="en-GB"/>
        </w:rPr>
        <w:t>et al</w:t>
      </w:r>
      <w:r w:rsidR="003E6BF7">
        <w:rPr>
          <w:rFonts w:ascii="Times New Roman" w:eastAsia="Times New Roman" w:hAnsi="Times New Roman" w:cs="Times New Roman"/>
          <w:sz w:val="24"/>
          <w:szCs w:val="24"/>
          <w:lang w:val="en-GB"/>
        </w:rPr>
        <w:t>.</w:t>
      </w:r>
      <w:r w:rsidR="000B190C" w:rsidRPr="000B190C">
        <w:rPr>
          <w:rFonts w:ascii="Times New Roman" w:eastAsia="Times New Roman" w:hAnsi="Times New Roman" w:cs="Times New Roman"/>
          <w:sz w:val="24"/>
          <w:szCs w:val="24"/>
          <w:lang w:val="en-GB"/>
        </w:rPr>
        <w:t xml:space="preserve"> </w:t>
      </w:r>
      <w:r w:rsidR="003E6BF7">
        <w:rPr>
          <w:rFonts w:ascii="Times New Roman" w:eastAsia="Times New Roman" w:hAnsi="Times New Roman" w:cs="Times New Roman"/>
          <w:sz w:val="24"/>
          <w:szCs w:val="24"/>
          <w:lang w:val="en-GB"/>
        </w:rPr>
        <w:t>(</w:t>
      </w:r>
      <w:r w:rsidR="000B190C" w:rsidRPr="000B190C">
        <w:rPr>
          <w:rFonts w:ascii="Times New Roman" w:eastAsia="Times New Roman" w:hAnsi="Times New Roman" w:cs="Times New Roman"/>
          <w:sz w:val="24"/>
          <w:szCs w:val="24"/>
          <w:lang w:val="en-GB"/>
        </w:rPr>
        <w:t>2012</w:t>
      </w:r>
      <w:r w:rsidR="003E6BF7">
        <w:rPr>
          <w:rFonts w:ascii="Times New Roman" w:eastAsia="Times New Roman" w:hAnsi="Times New Roman" w:cs="Times New Roman"/>
          <w:sz w:val="24"/>
          <w:szCs w:val="24"/>
          <w:lang w:val="en-GB"/>
        </w:rPr>
        <w:t>)</w:t>
      </w:r>
      <w:r w:rsidR="000B190C" w:rsidRPr="000B190C">
        <w:rPr>
          <w:rFonts w:ascii="Times New Roman" w:eastAsia="Times New Roman" w:hAnsi="Times New Roman" w:cs="Times New Roman"/>
          <w:sz w:val="24"/>
          <w:szCs w:val="24"/>
          <w:lang w:val="en-GB"/>
        </w:rPr>
        <w:t xml:space="preserve"> found that German farmers investment decisions are mainly driven by capital costs and the subjective perception of the risk resulting from the investment. In addition to capital costs which are </w:t>
      </w:r>
      <w:r w:rsidR="00916BE8" w:rsidRPr="000B190C">
        <w:rPr>
          <w:rFonts w:ascii="Times New Roman" w:eastAsia="Times New Roman" w:hAnsi="Times New Roman" w:cs="Times New Roman"/>
          <w:sz w:val="24"/>
          <w:szCs w:val="24"/>
          <w:lang w:val="en-GB"/>
        </w:rPr>
        <w:t>addressed</w:t>
      </w:r>
      <w:r w:rsidR="000B190C" w:rsidRPr="000B190C">
        <w:rPr>
          <w:rFonts w:ascii="Times New Roman" w:eastAsia="Times New Roman" w:hAnsi="Times New Roman" w:cs="Times New Roman"/>
          <w:sz w:val="24"/>
          <w:szCs w:val="24"/>
          <w:lang w:val="en-GB"/>
        </w:rPr>
        <w:t xml:space="preserve"> by </w:t>
      </w:r>
      <w:r w:rsidR="00916BE8" w:rsidRPr="000B190C">
        <w:rPr>
          <w:rFonts w:ascii="Times New Roman" w:eastAsia="Times New Roman" w:hAnsi="Times New Roman" w:cs="Times New Roman"/>
          <w:sz w:val="24"/>
          <w:szCs w:val="24"/>
          <w:lang w:val="en-GB"/>
        </w:rPr>
        <w:t>subsidies</w:t>
      </w:r>
      <w:r w:rsidR="000B190C" w:rsidRPr="000B190C">
        <w:rPr>
          <w:rFonts w:ascii="Times New Roman" w:eastAsia="Times New Roman" w:hAnsi="Times New Roman" w:cs="Times New Roman"/>
          <w:sz w:val="24"/>
          <w:szCs w:val="24"/>
          <w:lang w:val="en-GB"/>
        </w:rPr>
        <w:t xml:space="preserve">, bounded rationality is an important factor. Authors analysed the influence of an investment subsidy, only about half of the amount of the subsidy, is reflected in an increased willingness to invest. </w:t>
      </w:r>
      <w:r w:rsidR="009946C3" w:rsidRPr="000B190C">
        <w:rPr>
          <w:rFonts w:ascii="Times New Roman" w:eastAsia="Times New Roman" w:hAnsi="Times New Roman" w:cs="Times New Roman"/>
          <w:sz w:val="24"/>
          <w:szCs w:val="24"/>
          <w:lang w:val="en-GB"/>
        </w:rPr>
        <w:t>O’Toole</w:t>
      </w:r>
      <w:r w:rsidR="000B190C" w:rsidRPr="000B190C">
        <w:rPr>
          <w:rFonts w:ascii="Times New Roman" w:eastAsia="Times New Roman" w:hAnsi="Times New Roman" w:cs="Times New Roman"/>
          <w:sz w:val="24"/>
          <w:szCs w:val="24"/>
          <w:lang w:val="en-GB"/>
        </w:rPr>
        <w:t xml:space="preserve"> and Hennessy (2015) found that decoupled subsidies do reduce credit constraints.</w:t>
      </w:r>
    </w:p>
    <w:p w14:paraId="0DE5B921" w14:textId="66E410D6" w:rsidR="000B190C" w:rsidRPr="000B190C" w:rsidRDefault="000B190C" w:rsidP="000B190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0B190C">
        <w:rPr>
          <w:rFonts w:ascii="Times New Roman" w:eastAsia="Times New Roman" w:hAnsi="Times New Roman" w:cs="Times New Roman"/>
          <w:sz w:val="24"/>
          <w:szCs w:val="24"/>
          <w:lang w:val="en-GB"/>
        </w:rPr>
        <w:t xml:space="preserve">Another area of interest is the impact of support schemes on employment. </w:t>
      </w:r>
      <w:r w:rsidR="009946C3">
        <w:rPr>
          <w:rFonts w:ascii="Times New Roman" w:eastAsia="Times New Roman" w:hAnsi="Times New Roman" w:cs="Times New Roman"/>
          <w:sz w:val="24"/>
          <w:szCs w:val="24"/>
          <w:lang w:val="en-GB"/>
        </w:rPr>
        <w:t>Studies investigating t</w:t>
      </w:r>
      <w:r w:rsidRPr="000B190C">
        <w:rPr>
          <w:rFonts w:ascii="Times New Roman" w:eastAsia="Times New Roman" w:hAnsi="Times New Roman" w:cs="Times New Roman"/>
          <w:sz w:val="24"/>
          <w:szCs w:val="24"/>
          <w:lang w:val="en-GB"/>
        </w:rPr>
        <w:t>he impact</w:t>
      </w:r>
      <w:r w:rsidR="009946C3">
        <w:rPr>
          <w:rFonts w:ascii="Times New Roman" w:eastAsia="Times New Roman" w:hAnsi="Times New Roman" w:cs="Times New Roman"/>
          <w:sz w:val="24"/>
          <w:szCs w:val="24"/>
          <w:lang w:val="en-GB"/>
        </w:rPr>
        <w:t xml:space="preserve"> of subsidy schemes</w:t>
      </w:r>
      <w:r w:rsidRPr="000B190C">
        <w:rPr>
          <w:rFonts w:ascii="Times New Roman" w:eastAsia="Times New Roman" w:hAnsi="Times New Roman" w:cs="Times New Roman"/>
          <w:sz w:val="24"/>
          <w:szCs w:val="24"/>
          <w:lang w:val="en-GB"/>
        </w:rPr>
        <w:t xml:space="preserve"> on employment </w:t>
      </w:r>
      <w:r w:rsidR="009946C3">
        <w:rPr>
          <w:rFonts w:ascii="Times New Roman" w:eastAsia="Times New Roman" w:hAnsi="Times New Roman" w:cs="Times New Roman"/>
          <w:sz w:val="24"/>
          <w:szCs w:val="24"/>
          <w:lang w:val="en-GB"/>
        </w:rPr>
        <w:t>are limited</w:t>
      </w:r>
      <w:r w:rsidRPr="000B190C">
        <w:rPr>
          <w:rFonts w:ascii="Times New Roman" w:eastAsia="Times New Roman" w:hAnsi="Times New Roman" w:cs="Times New Roman"/>
          <w:sz w:val="24"/>
          <w:szCs w:val="24"/>
          <w:lang w:val="en-GB"/>
        </w:rPr>
        <w:t xml:space="preserve">. </w:t>
      </w:r>
      <w:proofErr w:type="spellStart"/>
      <w:r w:rsidRPr="000B190C">
        <w:rPr>
          <w:rFonts w:ascii="Times New Roman" w:eastAsia="Times New Roman" w:hAnsi="Times New Roman" w:cs="Times New Roman"/>
          <w:sz w:val="24"/>
          <w:szCs w:val="24"/>
          <w:lang w:val="en-GB"/>
        </w:rPr>
        <w:t>Olper</w:t>
      </w:r>
      <w:proofErr w:type="spellEnd"/>
      <w:r w:rsidRPr="000B190C">
        <w:rPr>
          <w:rFonts w:ascii="Times New Roman" w:eastAsia="Times New Roman" w:hAnsi="Times New Roman" w:cs="Times New Roman"/>
          <w:sz w:val="24"/>
          <w:szCs w:val="24"/>
          <w:lang w:val="en-GB"/>
        </w:rPr>
        <w:t xml:space="preserve"> et al. (2012), found that CAP has positively affected job creation in agriculture were direct payments where twice beneficial compared to other payments.  Storm </w:t>
      </w:r>
      <w:r w:rsidRPr="00561FC0">
        <w:rPr>
          <w:rFonts w:ascii="Times New Roman" w:eastAsia="Times New Roman" w:hAnsi="Times New Roman" w:cs="Times New Roman"/>
          <w:i/>
          <w:iCs/>
          <w:sz w:val="24"/>
          <w:szCs w:val="24"/>
          <w:lang w:val="en-GB"/>
        </w:rPr>
        <w:t>et al</w:t>
      </w:r>
      <w:r w:rsidR="003E6BF7">
        <w:rPr>
          <w:rFonts w:ascii="Times New Roman" w:eastAsia="Times New Roman" w:hAnsi="Times New Roman" w:cs="Times New Roman"/>
          <w:i/>
          <w:iCs/>
          <w:sz w:val="24"/>
          <w:szCs w:val="24"/>
          <w:lang w:val="en-GB"/>
        </w:rPr>
        <w:t>.</w:t>
      </w:r>
      <w:r w:rsidRPr="000B190C">
        <w:rPr>
          <w:rFonts w:ascii="Times New Roman" w:eastAsia="Times New Roman" w:hAnsi="Times New Roman" w:cs="Times New Roman"/>
          <w:sz w:val="24"/>
          <w:szCs w:val="24"/>
          <w:lang w:val="en-GB"/>
        </w:rPr>
        <w:t xml:space="preserve"> (2013) found that higher direct payments of </w:t>
      </w:r>
      <w:r w:rsidR="009946C3" w:rsidRPr="000B190C">
        <w:rPr>
          <w:rFonts w:ascii="Times New Roman" w:eastAsia="Times New Roman" w:hAnsi="Times New Roman" w:cs="Times New Roman"/>
          <w:sz w:val="24"/>
          <w:szCs w:val="24"/>
          <w:lang w:val="en-GB"/>
        </w:rPr>
        <w:t>neighbours’</w:t>
      </w:r>
      <w:r w:rsidRPr="000B190C">
        <w:rPr>
          <w:rFonts w:ascii="Times New Roman" w:eastAsia="Times New Roman" w:hAnsi="Times New Roman" w:cs="Times New Roman"/>
          <w:sz w:val="24"/>
          <w:szCs w:val="24"/>
          <w:lang w:val="en-GB"/>
        </w:rPr>
        <w:t xml:space="preserve"> </w:t>
      </w:r>
      <w:r w:rsidR="009946C3" w:rsidRPr="000B190C">
        <w:rPr>
          <w:rFonts w:ascii="Times New Roman" w:eastAsia="Times New Roman" w:hAnsi="Times New Roman" w:cs="Times New Roman"/>
          <w:sz w:val="24"/>
          <w:szCs w:val="24"/>
          <w:lang w:val="en-GB"/>
        </w:rPr>
        <w:t>decrease</w:t>
      </w:r>
      <w:r w:rsidRPr="000B190C">
        <w:rPr>
          <w:rFonts w:ascii="Times New Roman" w:eastAsia="Times New Roman" w:hAnsi="Times New Roman" w:cs="Times New Roman"/>
          <w:sz w:val="24"/>
          <w:szCs w:val="24"/>
          <w:lang w:val="en-GB"/>
        </w:rPr>
        <w:t xml:space="preserve"> own survival probability and thus affect the employment. </w:t>
      </w:r>
    </w:p>
    <w:p w14:paraId="40FBEFBE" w14:textId="48AE35BD" w:rsidR="000B190C" w:rsidRPr="000B190C" w:rsidRDefault="000B190C" w:rsidP="000B190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0B190C">
        <w:rPr>
          <w:rFonts w:ascii="Times New Roman" w:eastAsia="Times New Roman" w:hAnsi="Times New Roman" w:cs="Times New Roman"/>
          <w:sz w:val="24"/>
          <w:szCs w:val="24"/>
          <w:lang w:val="en-GB"/>
        </w:rPr>
        <w:t xml:space="preserve">Studies exploring the impact of subsidies include in the analyses additional explanatory variables in the inefficiency model.  Zhu and Demeter (2012) included farm size, specialization, </w:t>
      </w:r>
      <w:r w:rsidR="008178B6" w:rsidRPr="000B190C">
        <w:rPr>
          <w:rFonts w:ascii="Times New Roman" w:eastAsia="Times New Roman" w:hAnsi="Times New Roman" w:cs="Times New Roman"/>
          <w:sz w:val="24"/>
          <w:szCs w:val="24"/>
          <w:lang w:val="en-GB"/>
        </w:rPr>
        <w:t>labour</w:t>
      </w:r>
      <w:r w:rsidRPr="000B190C">
        <w:rPr>
          <w:rFonts w:ascii="Times New Roman" w:eastAsia="Times New Roman" w:hAnsi="Times New Roman" w:cs="Times New Roman"/>
          <w:sz w:val="24"/>
          <w:szCs w:val="24"/>
          <w:lang w:val="en-GB"/>
        </w:rPr>
        <w:t xml:space="preserve"> use, land use, financial management, and geographical regions as explanatory variables. The relation between farm size and farm performance is an old debate related with diseconomies of size. The degree of specialization is also an issue of concern. Some studies consider the share of incomes from a certain crop, while others the share of area from a certain crop which is more important for the main product of the farm. </w:t>
      </w:r>
      <w:proofErr w:type="spellStart"/>
      <w:r w:rsidRPr="000B190C">
        <w:rPr>
          <w:rFonts w:ascii="Times New Roman" w:eastAsia="Times New Roman" w:hAnsi="Times New Roman" w:cs="Times New Roman"/>
          <w:sz w:val="24"/>
          <w:szCs w:val="24"/>
          <w:lang w:val="en-GB"/>
        </w:rPr>
        <w:t>Acording</w:t>
      </w:r>
      <w:proofErr w:type="spellEnd"/>
      <w:r w:rsidRPr="000B190C">
        <w:rPr>
          <w:rFonts w:ascii="Times New Roman" w:eastAsia="Times New Roman" w:hAnsi="Times New Roman" w:cs="Times New Roman"/>
          <w:sz w:val="24"/>
          <w:szCs w:val="24"/>
          <w:lang w:val="en-GB"/>
        </w:rPr>
        <w:t xml:space="preserve"> to </w:t>
      </w:r>
      <w:proofErr w:type="spellStart"/>
      <w:r w:rsidRPr="000B190C">
        <w:rPr>
          <w:rFonts w:ascii="Times New Roman" w:eastAsia="Times New Roman" w:hAnsi="Times New Roman" w:cs="Times New Roman"/>
          <w:sz w:val="24"/>
          <w:szCs w:val="24"/>
          <w:lang w:val="en-GB"/>
        </w:rPr>
        <w:t>Latruffe</w:t>
      </w:r>
      <w:proofErr w:type="spellEnd"/>
      <w:r w:rsidRPr="000B190C">
        <w:rPr>
          <w:rFonts w:ascii="Times New Roman" w:eastAsia="Times New Roman" w:hAnsi="Times New Roman" w:cs="Times New Roman"/>
          <w:sz w:val="24"/>
          <w:szCs w:val="24"/>
          <w:lang w:val="en-GB"/>
        </w:rPr>
        <w:t xml:space="preserve"> </w:t>
      </w:r>
      <w:r w:rsidRPr="00561FC0">
        <w:rPr>
          <w:rFonts w:ascii="Times New Roman" w:eastAsia="Times New Roman" w:hAnsi="Times New Roman" w:cs="Times New Roman"/>
          <w:i/>
          <w:iCs/>
          <w:sz w:val="24"/>
          <w:szCs w:val="24"/>
          <w:lang w:val="en-GB"/>
        </w:rPr>
        <w:t>et al</w:t>
      </w:r>
      <w:r w:rsidRPr="000B190C">
        <w:rPr>
          <w:rFonts w:ascii="Times New Roman" w:eastAsia="Times New Roman" w:hAnsi="Times New Roman" w:cs="Times New Roman"/>
          <w:sz w:val="24"/>
          <w:szCs w:val="24"/>
          <w:lang w:val="en-GB"/>
        </w:rPr>
        <w:t>. (20</w:t>
      </w:r>
      <w:r w:rsidR="00895EF7">
        <w:rPr>
          <w:rFonts w:ascii="Times New Roman" w:eastAsia="Times New Roman" w:hAnsi="Times New Roman" w:cs="Times New Roman"/>
          <w:sz w:val="24"/>
          <w:szCs w:val="24"/>
          <w:lang w:val="en-GB"/>
        </w:rPr>
        <w:t>11</w:t>
      </w:r>
      <w:r w:rsidRPr="000B190C">
        <w:rPr>
          <w:rFonts w:ascii="Times New Roman" w:eastAsia="Times New Roman" w:hAnsi="Times New Roman" w:cs="Times New Roman"/>
          <w:sz w:val="24"/>
          <w:szCs w:val="24"/>
          <w:lang w:val="en-GB"/>
        </w:rPr>
        <w:t xml:space="preserve">) the specialisation accounts for any advantages related to more knowledge in a single production activity, which could positively affect farm performance. In other </w:t>
      </w:r>
      <w:r w:rsidR="008178B6" w:rsidRPr="000B190C">
        <w:rPr>
          <w:rFonts w:ascii="Times New Roman" w:eastAsia="Times New Roman" w:hAnsi="Times New Roman" w:cs="Times New Roman"/>
          <w:sz w:val="24"/>
          <w:szCs w:val="24"/>
          <w:lang w:val="en-GB"/>
        </w:rPr>
        <w:t>cases,</w:t>
      </w:r>
      <w:r w:rsidRPr="000B190C">
        <w:rPr>
          <w:rFonts w:ascii="Times New Roman" w:eastAsia="Times New Roman" w:hAnsi="Times New Roman" w:cs="Times New Roman"/>
          <w:sz w:val="24"/>
          <w:szCs w:val="24"/>
          <w:lang w:val="en-GB"/>
        </w:rPr>
        <w:t xml:space="preserve"> specialisation may reduce the efficiency of production in low capacity to adapt to market changes. </w:t>
      </w:r>
    </w:p>
    <w:p w14:paraId="01331918" w14:textId="4E9EE434" w:rsidR="00EE620E" w:rsidRDefault="000B190C" w:rsidP="000B190C">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0B190C">
        <w:rPr>
          <w:rFonts w:ascii="Times New Roman" w:eastAsia="Times New Roman" w:hAnsi="Times New Roman" w:cs="Times New Roman"/>
          <w:sz w:val="24"/>
          <w:szCs w:val="24"/>
          <w:lang w:val="en-GB"/>
        </w:rPr>
        <w:t xml:space="preserve">In the case of Albania, there are a few studies on impact assessment of subsidies. Skreli et al. (2015) </w:t>
      </w:r>
      <w:proofErr w:type="spellStart"/>
      <w:r w:rsidRPr="000B190C">
        <w:rPr>
          <w:rFonts w:ascii="Times New Roman" w:eastAsia="Times New Roman" w:hAnsi="Times New Roman" w:cs="Times New Roman"/>
          <w:sz w:val="24"/>
          <w:szCs w:val="24"/>
          <w:lang w:val="en-GB"/>
        </w:rPr>
        <w:t>analyzed</w:t>
      </w:r>
      <w:proofErr w:type="spellEnd"/>
      <w:r w:rsidRPr="000B190C">
        <w:rPr>
          <w:rFonts w:ascii="Times New Roman" w:eastAsia="Times New Roman" w:hAnsi="Times New Roman" w:cs="Times New Roman"/>
          <w:sz w:val="24"/>
          <w:szCs w:val="24"/>
          <w:lang w:val="en-GB"/>
        </w:rPr>
        <w:t xml:space="preserve"> the impact of government subsidy schemes on farm production capacity, technical </w:t>
      </w:r>
      <w:r w:rsidR="008178B6" w:rsidRPr="000B190C">
        <w:rPr>
          <w:rFonts w:ascii="Times New Roman" w:eastAsia="Times New Roman" w:hAnsi="Times New Roman" w:cs="Times New Roman"/>
          <w:sz w:val="24"/>
          <w:szCs w:val="24"/>
          <w:lang w:val="en-GB"/>
        </w:rPr>
        <w:t>efficiency,</w:t>
      </w:r>
      <w:r w:rsidRPr="000B190C">
        <w:rPr>
          <w:rFonts w:ascii="Times New Roman" w:eastAsia="Times New Roman" w:hAnsi="Times New Roman" w:cs="Times New Roman"/>
          <w:sz w:val="24"/>
          <w:szCs w:val="24"/>
          <w:lang w:val="en-GB"/>
        </w:rPr>
        <w:t xml:space="preserve"> and use of idle production factors (land and labour) in olive and vineyard sectors of Albania, using Propensity Score Matching (PSM) Method. Results show that government subsidy scheme had a clear net impact on increasing areas under fruit plantation in Albania, but not on farm size, </w:t>
      </w:r>
      <w:r w:rsidR="008178B6" w:rsidRPr="000B190C">
        <w:rPr>
          <w:rFonts w:ascii="Times New Roman" w:eastAsia="Times New Roman" w:hAnsi="Times New Roman" w:cs="Times New Roman"/>
          <w:sz w:val="24"/>
          <w:szCs w:val="24"/>
          <w:lang w:val="en-GB"/>
        </w:rPr>
        <w:t>employment,</w:t>
      </w:r>
      <w:r w:rsidRPr="000B190C">
        <w:rPr>
          <w:rFonts w:ascii="Times New Roman" w:eastAsia="Times New Roman" w:hAnsi="Times New Roman" w:cs="Times New Roman"/>
          <w:sz w:val="24"/>
          <w:szCs w:val="24"/>
          <w:lang w:val="en-GB"/>
        </w:rPr>
        <w:t xml:space="preserve"> and crop yield level. </w:t>
      </w:r>
      <w:proofErr w:type="spellStart"/>
      <w:r w:rsidRPr="000B190C">
        <w:rPr>
          <w:rFonts w:ascii="Times New Roman" w:eastAsia="Times New Roman" w:hAnsi="Times New Roman" w:cs="Times New Roman"/>
          <w:sz w:val="24"/>
          <w:szCs w:val="24"/>
          <w:lang w:val="en-GB"/>
        </w:rPr>
        <w:t>Gecaj</w:t>
      </w:r>
      <w:proofErr w:type="spellEnd"/>
      <w:r w:rsidRPr="000B190C">
        <w:rPr>
          <w:rFonts w:ascii="Times New Roman" w:eastAsia="Times New Roman" w:hAnsi="Times New Roman" w:cs="Times New Roman"/>
          <w:sz w:val="24"/>
          <w:szCs w:val="24"/>
          <w:lang w:val="en-GB"/>
        </w:rPr>
        <w:t xml:space="preserve"> et al. (2019), using both PSM </w:t>
      </w:r>
      <w:r w:rsidR="008178B6" w:rsidRPr="000B190C">
        <w:rPr>
          <w:rFonts w:ascii="Times New Roman" w:eastAsia="Times New Roman" w:hAnsi="Times New Roman" w:cs="Times New Roman"/>
          <w:sz w:val="24"/>
          <w:szCs w:val="24"/>
          <w:lang w:val="en-GB"/>
        </w:rPr>
        <w:t>and the</w:t>
      </w:r>
      <w:r w:rsidRPr="000B190C">
        <w:rPr>
          <w:rFonts w:ascii="Times New Roman" w:eastAsia="Times New Roman" w:hAnsi="Times New Roman" w:cs="Times New Roman"/>
          <w:sz w:val="24"/>
          <w:szCs w:val="24"/>
          <w:lang w:val="en-GB"/>
        </w:rPr>
        <w:t xml:space="preserve"> veteran approach shows that that subsidies have affected the planted area in the year when they are obtained, and partially the yields, but have no impact on price (proxy for quality) for Medicinal and Aromatic Plants. There has not been carried out study on impact assessment of support schemes in the livestock sector in Albania, despite its importance on agriculture output, food security and rural </w:t>
      </w:r>
      <w:r w:rsidR="00381DA4" w:rsidRPr="000B190C">
        <w:rPr>
          <w:rFonts w:ascii="Times New Roman" w:eastAsia="Times New Roman" w:hAnsi="Times New Roman" w:cs="Times New Roman"/>
          <w:sz w:val="24"/>
          <w:szCs w:val="24"/>
          <w:lang w:val="en-GB"/>
        </w:rPr>
        <w:t>livelihood</w:t>
      </w:r>
    </w:p>
    <w:p w14:paraId="4CF7A790" w14:textId="77777777" w:rsidR="00EE620E" w:rsidRPr="00561FC0" w:rsidRDefault="00EE620E" w:rsidP="00561FC0">
      <w:pPr>
        <w:rPr>
          <w:lang w:val="en-GB"/>
        </w:rPr>
      </w:pPr>
    </w:p>
    <w:p w14:paraId="077008FD" w14:textId="701F4007" w:rsidR="001C38C8" w:rsidRDefault="00EE620E" w:rsidP="001C38C8">
      <w:pPr>
        <w:numPr>
          <w:ilvl w:val="0"/>
          <w:numId w:val="6"/>
        </w:numPr>
        <w:spacing w:before="120" w:after="120" w:line="276" w:lineRule="auto"/>
        <w:jc w:val="both"/>
        <w:outlineLvl w:val="0"/>
        <w:rPr>
          <w:rFonts w:ascii="Times New Roman" w:eastAsia="Times New Roman" w:hAnsi="Times New Roman" w:cs="Times New Roman"/>
          <w:b/>
          <w:bCs/>
          <w:kern w:val="36"/>
          <w:sz w:val="28"/>
          <w:szCs w:val="28"/>
          <w:lang w:val="en-GB"/>
        </w:rPr>
      </w:pPr>
      <w:r w:rsidRPr="00EE620E">
        <w:rPr>
          <w:rFonts w:ascii="Times New Roman" w:eastAsia="Times New Roman" w:hAnsi="Times New Roman" w:cs="Times New Roman"/>
          <w:b/>
          <w:bCs/>
          <w:kern w:val="36"/>
          <w:sz w:val="28"/>
          <w:szCs w:val="28"/>
          <w:lang w:val="en-GB"/>
        </w:rPr>
        <w:lastRenderedPageBreak/>
        <w:t>Data and methods</w:t>
      </w:r>
    </w:p>
    <w:p w14:paraId="34BA4140" w14:textId="01401F8E" w:rsidR="00FD3205" w:rsidRDefault="00FD3205" w:rsidP="00EE620E">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FD3205">
        <w:rPr>
          <w:rFonts w:ascii="Times New Roman" w:eastAsia="Times New Roman" w:hAnsi="Times New Roman" w:cs="Times New Roman"/>
          <w:sz w:val="24"/>
          <w:szCs w:val="24"/>
          <w:lang w:val="en-GB"/>
        </w:rPr>
        <w:t xml:space="preserve">The analysis of the impact of subsidy schemes in the greenhouse vegetable sector is based on data from n = 225 farmers. Of which 98 have benefited from subsidy schemes during 2013-2018 and 127 have not benefited. Table 1 presents some sample characteristics for the beneficiary and non-beneficiary groups. The shaded columns are the exploratory variables (i.e., variables that are used for matching), the non-shaded columns are the outcomes of interests for assessing the impact. </w:t>
      </w:r>
      <w:r>
        <w:rPr>
          <w:rFonts w:ascii="Times New Roman" w:eastAsia="Times New Roman" w:hAnsi="Times New Roman" w:cs="Times New Roman"/>
          <w:sz w:val="24"/>
          <w:szCs w:val="24"/>
          <w:lang w:val="en-GB"/>
        </w:rPr>
        <w:t xml:space="preserve"> </w:t>
      </w:r>
    </w:p>
    <w:p w14:paraId="70414441" w14:textId="77777777" w:rsidR="00FD3205" w:rsidRPr="00FD3205" w:rsidRDefault="00FD3205" w:rsidP="00FD3205">
      <w:pPr>
        <w:spacing w:after="0" w:line="480" w:lineRule="auto"/>
        <w:jc w:val="center"/>
        <w:rPr>
          <w:rFonts w:ascii="Times New Roman" w:eastAsia="SimSun" w:hAnsi="Times New Roman" w:cs="Times New Roman"/>
          <w:kern w:val="24"/>
          <w:sz w:val="24"/>
          <w:szCs w:val="24"/>
          <w:lang w:eastAsia="ja-JP"/>
        </w:rPr>
      </w:pPr>
      <w:r w:rsidRPr="00FD3205">
        <w:rPr>
          <w:rFonts w:ascii="Times New Roman" w:eastAsia="SimSun" w:hAnsi="Times New Roman" w:cs="Times New Roman"/>
          <w:b/>
          <w:bCs/>
          <w:kern w:val="24"/>
          <w:sz w:val="24"/>
          <w:szCs w:val="24"/>
          <w:lang w:eastAsia="ja-JP"/>
        </w:rPr>
        <w:t>Table 1</w:t>
      </w:r>
      <w:r w:rsidRPr="00FD3205">
        <w:rPr>
          <w:rFonts w:ascii="Times New Roman" w:eastAsia="SimSun" w:hAnsi="Times New Roman" w:cs="Times New Roman"/>
          <w:kern w:val="24"/>
          <w:sz w:val="24"/>
          <w:szCs w:val="24"/>
          <w:lang w:eastAsia="ja-JP"/>
        </w:rPr>
        <w:t xml:space="preserve">: </w:t>
      </w:r>
      <w:r w:rsidRPr="00561FC0">
        <w:rPr>
          <w:rFonts w:ascii="Times New Roman" w:eastAsia="SimSun" w:hAnsi="Times New Roman" w:cs="Times New Roman"/>
          <w:b/>
          <w:bCs/>
          <w:kern w:val="24"/>
          <w:sz w:val="24"/>
          <w:szCs w:val="24"/>
          <w:lang w:eastAsia="ja-JP"/>
        </w:rPr>
        <w:t>Sample characteristics</w:t>
      </w:r>
    </w:p>
    <w:tbl>
      <w:tblPr>
        <w:tblStyle w:val="APAReport1"/>
        <w:tblW w:w="8928" w:type="dxa"/>
        <w:jc w:val="center"/>
        <w:tblLook w:val="04A0" w:firstRow="1" w:lastRow="0" w:firstColumn="1" w:lastColumn="0" w:noHBand="0" w:noVBand="1"/>
      </w:tblPr>
      <w:tblGrid>
        <w:gridCol w:w="3312"/>
        <w:gridCol w:w="1296"/>
        <w:gridCol w:w="1296"/>
        <w:gridCol w:w="1296"/>
        <w:gridCol w:w="1296"/>
        <w:gridCol w:w="432"/>
      </w:tblGrid>
      <w:tr w:rsidR="00FD3205" w:rsidRPr="00FD3205" w14:paraId="20A22D10" w14:textId="77777777" w:rsidTr="00374ACF">
        <w:trPr>
          <w:cnfStyle w:val="100000000000" w:firstRow="1" w:lastRow="0" w:firstColumn="0" w:lastColumn="0" w:oddVBand="0" w:evenVBand="0" w:oddHBand="0" w:evenHBand="0" w:firstRowFirstColumn="0" w:firstRowLastColumn="0" w:lastRowFirstColumn="0" w:lastRowLastColumn="0"/>
          <w:trHeight w:val="360"/>
          <w:jc w:val="center"/>
        </w:trPr>
        <w:tc>
          <w:tcPr>
            <w:tcW w:w="3312" w:type="dxa"/>
            <w:noWrap/>
            <w:hideMark/>
          </w:tcPr>
          <w:p w14:paraId="12E47437" w14:textId="77777777" w:rsidR="00FD3205" w:rsidRPr="00FD3205" w:rsidRDefault="00FD3205" w:rsidP="00FD3205">
            <w:pPr>
              <w:rPr>
                <w:rFonts w:cs="Times New Roman"/>
                <w:kern w:val="24"/>
              </w:rPr>
            </w:pPr>
          </w:p>
        </w:tc>
        <w:tc>
          <w:tcPr>
            <w:tcW w:w="2592" w:type="dxa"/>
            <w:gridSpan w:val="2"/>
            <w:noWrap/>
            <w:hideMark/>
          </w:tcPr>
          <w:p w14:paraId="614B2C88" w14:textId="77777777" w:rsidR="00FD3205" w:rsidRPr="00FD3205" w:rsidRDefault="00FD3205" w:rsidP="00FD3205">
            <w:pPr>
              <w:rPr>
                <w:rFonts w:cs="Times New Roman"/>
                <w:b/>
                <w:bCs/>
                <w:kern w:val="24"/>
              </w:rPr>
            </w:pPr>
            <w:r w:rsidRPr="00FD3205">
              <w:rPr>
                <w:rFonts w:cs="Times New Roman"/>
                <w:b/>
                <w:bCs/>
                <w:kern w:val="24"/>
              </w:rPr>
              <w:t>Beneficiaries (N=98)</w:t>
            </w:r>
          </w:p>
        </w:tc>
        <w:tc>
          <w:tcPr>
            <w:tcW w:w="3024" w:type="dxa"/>
            <w:gridSpan w:val="3"/>
            <w:noWrap/>
            <w:hideMark/>
          </w:tcPr>
          <w:p w14:paraId="1BF85359" w14:textId="77777777" w:rsidR="00FD3205" w:rsidRPr="00FD3205" w:rsidRDefault="00FD3205" w:rsidP="00FD3205">
            <w:pPr>
              <w:rPr>
                <w:rFonts w:cs="Times New Roman"/>
                <w:b/>
                <w:bCs/>
                <w:kern w:val="24"/>
              </w:rPr>
            </w:pPr>
            <w:r w:rsidRPr="00FD3205">
              <w:rPr>
                <w:rFonts w:cs="Times New Roman"/>
                <w:b/>
                <w:bCs/>
                <w:kern w:val="24"/>
              </w:rPr>
              <w:t>Non-Beneficiaries (N=127)</w:t>
            </w:r>
          </w:p>
        </w:tc>
      </w:tr>
      <w:tr w:rsidR="00FD3205" w:rsidRPr="00FD3205" w14:paraId="68D2549B" w14:textId="77777777" w:rsidTr="00374ACF">
        <w:trPr>
          <w:gridAfter w:val="1"/>
          <w:wAfter w:w="432" w:type="dxa"/>
          <w:trHeight w:val="360"/>
          <w:jc w:val="center"/>
        </w:trPr>
        <w:tc>
          <w:tcPr>
            <w:tcW w:w="3312" w:type="dxa"/>
            <w:hideMark/>
          </w:tcPr>
          <w:p w14:paraId="08A78D57" w14:textId="77777777" w:rsidR="00FD3205" w:rsidRPr="00FD3205" w:rsidRDefault="00FD3205" w:rsidP="00FD3205">
            <w:pPr>
              <w:rPr>
                <w:rFonts w:ascii="Times New Roman" w:hAnsi="Times New Roman" w:cs="Times New Roman"/>
                <w:b/>
                <w:bCs/>
                <w:kern w:val="24"/>
              </w:rPr>
            </w:pPr>
            <w:r w:rsidRPr="00FD3205">
              <w:rPr>
                <w:rFonts w:ascii="Times New Roman" w:hAnsi="Times New Roman" w:cs="Times New Roman"/>
                <w:b/>
                <w:bCs/>
                <w:kern w:val="24"/>
              </w:rPr>
              <w:t> </w:t>
            </w:r>
          </w:p>
        </w:tc>
        <w:tc>
          <w:tcPr>
            <w:tcW w:w="1296" w:type="dxa"/>
            <w:vAlign w:val="center"/>
            <w:hideMark/>
          </w:tcPr>
          <w:p w14:paraId="1EE603DF" w14:textId="77777777" w:rsidR="00FD3205" w:rsidRPr="00FD3205" w:rsidRDefault="00FD3205" w:rsidP="00FD3205">
            <w:pPr>
              <w:jc w:val="center"/>
              <w:rPr>
                <w:rFonts w:ascii="Times New Roman" w:hAnsi="Times New Roman" w:cs="Times New Roman"/>
                <w:b/>
                <w:bCs/>
                <w:kern w:val="24"/>
              </w:rPr>
            </w:pPr>
            <w:r w:rsidRPr="00FD3205">
              <w:rPr>
                <w:rFonts w:ascii="Times New Roman" w:hAnsi="Times New Roman" w:cs="Times New Roman"/>
                <w:b/>
                <w:bCs/>
                <w:kern w:val="24"/>
              </w:rPr>
              <w:t>Mean</w:t>
            </w:r>
          </w:p>
        </w:tc>
        <w:tc>
          <w:tcPr>
            <w:tcW w:w="1296" w:type="dxa"/>
            <w:hideMark/>
          </w:tcPr>
          <w:p w14:paraId="792F3D80" w14:textId="77777777" w:rsidR="00FD3205" w:rsidRPr="00FD3205" w:rsidRDefault="00FD3205" w:rsidP="00FD3205">
            <w:pPr>
              <w:rPr>
                <w:rFonts w:ascii="Times New Roman" w:hAnsi="Times New Roman" w:cs="Times New Roman"/>
                <w:b/>
                <w:bCs/>
                <w:kern w:val="24"/>
              </w:rPr>
            </w:pPr>
            <w:proofErr w:type="spellStart"/>
            <w:r w:rsidRPr="00FD3205">
              <w:rPr>
                <w:rFonts w:ascii="Times New Roman" w:hAnsi="Times New Roman" w:cs="Times New Roman"/>
                <w:b/>
                <w:bCs/>
                <w:kern w:val="24"/>
              </w:rPr>
              <w:t>Std.Dev</w:t>
            </w:r>
            <w:proofErr w:type="spellEnd"/>
          </w:p>
        </w:tc>
        <w:tc>
          <w:tcPr>
            <w:tcW w:w="1296" w:type="dxa"/>
            <w:hideMark/>
          </w:tcPr>
          <w:p w14:paraId="2457603F" w14:textId="77777777" w:rsidR="00FD3205" w:rsidRPr="00FD3205" w:rsidRDefault="00FD3205" w:rsidP="00FD3205">
            <w:pPr>
              <w:rPr>
                <w:rFonts w:ascii="Times New Roman" w:hAnsi="Times New Roman" w:cs="Times New Roman"/>
                <w:b/>
                <w:bCs/>
                <w:kern w:val="24"/>
              </w:rPr>
            </w:pPr>
            <w:r w:rsidRPr="00FD3205">
              <w:rPr>
                <w:rFonts w:ascii="Times New Roman" w:hAnsi="Times New Roman" w:cs="Times New Roman"/>
                <w:b/>
                <w:bCs/>
                <w:kern w:val="24"/>
              </w:rPr>
              <w:t>Mean</w:t>
            </w:r>
          </w:p>
        </w:tc>
        <w:tc>
          <w:tcPr>
            <w:tcW w:w="1296" w:type="dxa"/>
            <w:hideMark/>
          </w:tcPr>
          <w:p w14:paraId="47141765" w14:textId="77777777" w:rsidR="00FD3205" w:rsidRPr="00FD3205" w:rsidRDefault="00FD3205" w:rsidP="00FD3205">
            <w:pPr>
              <w:rPr>
                <w:rFonts w:ascii="Times New Roman" w:hAnsi="Times New Roman" w:cs="Times New Roman"/>
                <w:b/>
                <w:bCs/>
                <w:kern w:val="24"/>
              </w:rPr>
            </w:pPr>
            <w:proofErr w:type="spellStart"/>
            <w:r w:rsidRPr="00FD3205">
              <w:rPr>
                <w:rFonts w:ascii="Times New Roman" w:hAnsi="Times New Roman" w:cs="Times New Roman"/>
                <w:b/>
                <w:bCs/>
                <w:kern w:val="24"/>
              </w:rPr>
              <w:t>Std.Dev</w:t>
            </w:r>
            <w:proofErr w:type="spellEnd"/>
          </w:p>
        </w:tc>
      </w:tr>
      <w:tr w:rsidR="00FD3205" w:rsidRPr="00FD3205" w14:paraId="68FACE80" w14:textId="77777777" w:rsidTr="00374ACF">
        <w:trPr>
          <w:gridAfter w:val="1"/>
          <w:wAfter w:w="432" w:type="dxa"/>
          <w:trHeight w:val="360"/>
          <w:jc w:val="center"/>
        </w:trPr>
        <w:tc>
          <w:tcPr>
            <w:tcW w:w="3312" w:type="dxa"/>
            <w:shd w:val="clear" w:color="auto" w:fill="DDDDDD"/>
            <w:vAlign w:val="center"/>
            <w:hideMark/>
          </w:tcPr>
          <w:p w14:paraId="6804B31F"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Farmers' Age</w:t>
            </w:r>
          </w:p>
        </w:tc>
        <w:tc>
          <w:tcPr>
            <w:tcW w:w="1296" w:type="dxa"/>
            <w:shd w:val="clear" w:color="auto" w:fill="DDDDDD"/>
            <w:vAlign w:val="center"/>
            <w:hideMark/>
          </w:tcPr>
          <w:p w14:paraId="17588CEC"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50.99</w:t>
            </w:r>
          </w:p>
        </w:tc>
        <w:tc>
          <w:tcPr>
            <w:tcW w:w="1296" w:type="dxa"/>
            <w:shd w:val="clear" w:color="auto" w:fill="DDDDDD"/>
            <w:vAlign w:val="center"/>
            <w:hideMark/>
          </w:tcPr>
          <w:p w14:paraId="3B22F959"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10.67</w:t>
            </w:r>
          </w:p>
        </w:tc>
        <w:tc>
          <w:tcPr>
            <w:tcW w:w="1296" w:type="dxa"/>
            <w:shd w:val="clear" w:color="auto" w:fill="DDDDDD"/>
            <w:vAlign w:val="center"/>
            <w:hideMark/>
          </w:tcPr>
          <w:p w14:paraId="47C4AD57"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44.54</w:t>
            </w:r>
          </w:p>
        </w:tc>
        <w:tc>
          <w:tcPr>
            <w:tcW w:w="1296" w:type="dxa"/>
            <w:shd w:val="clear" w:color="auto" w:fill="DDDDDD"/>
            <w:vAlign w:val="center"/>
            <w:hideMark/>
          </w:tcPr>
          <w:p w14:paraId="5F3AAC8F"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11.98</w:t>
            </w:r>
          </w:p>
        </w:tc>
      </w:tr>
      <w:tr w:rsidR="00FD3205" w:rsidRPr="00FD3205" w14:paraId="1BF35CCE" w14:textId="77777777" w:rsidTr="00374ACF">
        <w:trPr>
          <w:gridAfter w:val="1"/>
          <w:wAfter w:w="432" w:type="dxa"/>
          <w:trHeight w:val="360"/>
          <w:jc w:val="center"/>
        </w:trPr>
        <w:tc>
          <w:tcPr>
            <w:tcW w:w="3312" w:type="dxa"/>
            <w:shd w:val="clear" w:color="auto" w:fill="DDDDDD"/>
            <w:vAlign w:val="center"/>
            <w:hideMark/>
          </w:tcPr>
          <w:p w14:paraId="78D0FB8F"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Farm size area</w:t>
            </w:r>
          </w:p>
        </w:tc>
        <w:tc>
          <w:tcPr>
            <w:tcW w:w="1296" w:type="dxa"/>
            <w:shd w:val="clear" w:color="auto" w:fill="DDDDDD"/>
            <w:vAlign w:val="center"/>
            <w:hideMark/>
          </w:tcPr>
          <w:p w14:paraId="044F8ED8"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16.89</w:t>
            </w:r>
          </w:p>
        </w:tc>
        <w:tc>
          <w:tcPr>
            <w:tcW w:w="1296" w:type="dxa"/>
            <w:shd w:val="clear" w:color="auto" w:fill="DDDDDD"/>
            <w:vAlign w:val="center"/>
            <w:hideMark/>
          </w:tcPr>
          <w:p w14:paraId="7B27AB8A"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15.27</w:t>
            </w:r>
          </w:p>
        </w:tc>
        <w:tc>
          <w:tcPr>
            <w:tcW w:w="1296" w:type="dxa"/>
            <w:shd w:val="clear" w:color="auto" w:fill="DDDDDD"/>
            <w:vAlign w:val="center"/>
            <w:hideMark/>
          </w:tcPr>
          <w:p w14:paraId="3BECBA61"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13.22</w:t>
            </w:r>
          </w:p>
        </w:tc>
        <w:tc>
          <w:tcPr>
            <w:tcW w:w="1296" w:type="dxa"/>
            <w:shd w:val="clear" w:color="auto" w:fill="DDDDDD"/>
            <w:vAlign w:val="center"/>
            <w:hideMark/>
          </w:tcPr>
          <w:p w14:paraId="03B6EECA"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13.25</w:t>
            </w:r>
          </w:p>
        </w:tc>
      </w:tr>
      <w:tr w:rsidR="00FD3205" w:rsidRPr="00FD3205" w14:paraId="3A6EB682" w14:textId="77777777" w:rsidTr="00374ACF">
        <w:trPr>
          <w:gridAfter w:val="1"/>
          <w:wAfter w:w="432" w:type="dxa"/>
          <w:trHeight w:val="360"/>
          <w:jc w:val="center"/>
        </w:trPr>
        <w:tc>
          <w:tcPr>
            <w:tcW w:w="3312" w:type="dxa"/>
            <w:shd w:val="clear" w:color="auto" w:fill="DDDDDD"/>
            <w:vAlign w:val="center"/>
            <w:hideMark/>
          </w:tcPr>
          <w:p w14:paraId="623BFEC2"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Farmers' Education</w:t>
            </w:r>
          </w:p>
        </w:tc>
        <w:tc>
          <w:tcPr>
            <w:tcW w:w="1296" w:type="dxa"/>
            <w:shd w:val="clear" w:color="auto" w:fill="DDDDDD"/>
            <w:vAlign w:val="center"/>
            <w:hideMark/>
          </w:tcPr>
          <w:p w14:paraId="32A953F6"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10.82</w:t>
            </w:r>
          </w:p>
        </w:tc>
        <w:tc>
          <w:tcPr>
            <w:tcW w:w="1296" w:type="dxa"/>
            <w:shd w:val="clear" w:color="auto" w:fill="DDDDDD"/>
            <w:vAlign w:val="center"/>
            <w:hideMark/>
          </w:tcPr>
          <w:p w14:paraId="2506C508"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2.17</w:t>
            </w:r>
          </w:p>
        </w:tc>
        <w:tc>
          <w:tcPr>
            <w:tcW w:w="1296" w:type="dxa"/>
            <w:shd w:val="clear" w:color="auto" w:fill="DDDDDD"/>
            <w:vAlign w:val="center"/>
            <w:hideMark/>
          </w:tcPr>
          <w:p w14:paraId="0FC19462"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10.44</w:t>
            </w:r>
          </w:p>
        </w:tc>
        <w:tc>
          <w:tcPr>
            <w:tcW w:w="1296" w:type="dxa"/>
            <w:shd w:val="clear" w:color="auto" w:fill="DDDDDD"/>
            <w:vAlign w:val="center"/>
            <w:hideMark/>
          </w:tcPr>
          <w:p w14:paraId="10662A3A"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2.28</w:t>
            </w:r>
          </w:p>
        </w:tc>
      </w:tr>
      <w:tr w:rsidR="00FD3205" w:rsidRPr="00FD3205" w14:paraId="46F2FB2F" w14:textId="77777777" w:rsidTr="00374ACF">
        <w:trPr>
          <w:gridAfter w:val="1"/>
          <w:wAfter w:w="432" w:type="dxa"/>
          <w:trHeight w:val="360"/>
          <w:jc w:val="center"/>
        </w:trPr>
        <w:tc>
          <w:tcPr>
            <w:tcW w:w="3312" w:type="dxa"/>
            <w:shd w:val="clear" w:color="auto" w:fill="DDDDDD"/>
            <w:vAlign w:val="center"/>
            <w:hideMark/>
          </w:tcPr>
          <w:p w14:paraId="445C5EFC"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Family size</w:t>
            </w:r>
          </w:p>
        </w:tc>
        <w:tc>
          <w:tcPr>
            <w:tcW w:w="1296" w:type="dxa"/>
            <w:shd w:val="clear" w:color="auto" w:fill="DDDDDD"/>
            <w:vAlign w:val="center"/>
            <w:hideMark/>
          </w:tcPr>
          <w:p w14:paraId="26B4C782"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4.91</w:t>
            </w:r>
          </w:p>
        </w:tc>
        <w:tc>
          <w:tcPr>
            <w:tcW w:w="1296" w:type="dxa"/>
            <w:shd w:val="clear" w:color="auto" w:fill="DDDDDD"/>
            <w:vAlign w:val="center"/>
            <w:hideMark/>
          </w:tcPr>
          <w:p w14:paraId="00569787"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1.39</w:t>
            </w:r>
          </w:p>
        </w:tc>
        <w:tc>
          <w:tcPr>
            <w:tcW w:w="1296" w:type="dxa"/>
            <w:shd w:val="clear" w:color="auto" w:fill="DDDDDD"/>
            <w:vAlign w:val="center"/>
            <w:hideMark/>
          </w:tcPr>
          <w:p w14:paraId="14FFCC98"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4.82</w:t>
            </w:r>
          </w:p>
        </w:tc>
        <w:tc>
          <w:tcPr>
            <w:tcW w:w="1296" w:type="dxa"/>
            <w:shd w:val="clear" w:color="auto" w:fill="DDDDDD"/>
            <w:vAlign w:val="center"/>
            <w:hideMark/>
          </w:tcPr>
          <w:p w14:paraId="34589FB0"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1.31</w:t>
            </w:r>
          </w:p>
        </w:tc>
      </w:tr>
      <w:tr w:rsidR="00FD3205" w:rsidRPr="00FD3205" w14:paraId="0C3F5554" w14:textId="77777777" w:rsidTr="00374ACF">
        <w:trPr>
          <w:gridAfter w:val="1"/>
          <w:wAfter w:w="432" w:type="dxa"/>
          <w:trHeight w:val="360"/>
          <w:jc w:val="center"/>
        </w:trPr>
        <w:tc>
          <w:tcPr>
            <w:tcW w:w="3312" w:type="dxa"/>
            <w:shd w:val="clear" w:color="auto" w:fill="DDDDDD"/>
            <w:vAlign w:val="center"/>
            <w:hideMark/>
          </w:tcPr>
          <w:p w14:paraId="729B1ABB"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Keep notes &amp; Calc. prod cost (Y/N)</w:t>
            </w:r>
          </w:p>
        </w:tc>
        <w:tc>
          <w:tcPr>
            <w:tcW w:w="1296" w:type="dxa"/>
            <w:shd w:val="clear" w:color="auto" w:fill="DDDDDD"/>
            <w:vAlign w:val="center"/>
            <w:hideMark/>
          </w:tcPr>
          <w:p w14:paraId="435D5DE9"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50%</w:t>
            </w:r>
          </w:p>
        </w:tc>
        <w:tc>
          <w:tcPr>
            <w:tcW w:w="1296" w:type="dxa"/>
            <w:shd w:val="clear" w:color="auto" w:fill="DDDDDD"/>
            <w:vAlign w:val="center"/>
            <w:hideMark/>
          </w:tcPr>
          <w:p w14:paraId="6FE895B9"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0.5</w:t>
            </w:r>
          </w:p>
        </w:tc>
        <w:tc>
          <w:tcPr>
            <w:tcW w:w="1296" w:type="dxa"/>
            <w:shd w:val="clear" w:color="auto" w:fill="DDDDDD"/>
            <w:vAlign w:val="center"/>
            <w:hideMark/>
          </w:tcPr>
          <w:p w14:paraId="48C4D17E"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56%</w:t>
            </w:r>
          </w:p>
        </w:tc>
        <w:tc>
          <w:tcPr>
            <w:tcW w:w="1296" w:type="dxa"/>
            <w:shd w:val="clear" w:color="auto" w:fill="DDDDDD"/>
            <w:vAlign w:val="center"/>
            <w:hideMark/>
          </w:tcPr>
          <w:p w14:paraId="41A5AF35"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0.5</w:t>
            </w:r>
          </w:p>
        </w:tc>
      </w:tr>
      <w:tr w:rsidR="00FD3205" w:rsidRPr="00FD3205" w14:paraId="1FE55ED1" w14:textId="77777777" w:rsidTr="00374ACF">
        <w:trPr>
          <w:gridAfter w:val="1"/>
          <w:wAfter w:w="432" w:type="dxa"/>
          <w:trHeight w:val="360"/>
          <w:jc w:val="center"/>
        </w:trPr>
        <w:tc>
          <w:tcPr>
            <w:tcW w:w="3312" w:type="dxa"/>
            <w:shd w:val="clear" w:color="auto" w:fill="DDDDDD"/>
            <w:vAlign w:val="center"/>
            <w:hideMark/>
          </w:tcPr>
          <w:p w14:paraId="74B93F85"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Registration with Tax authorities (Y/N)</w:t>
            </w:r>
          </w:p>
        </w:tc>
        <w:tc>
          <w:tcPr>
            <w:tcW w:w="1296" w:type="dxa"/>
            <w:shd w:val="clear" w:color="auto" w:fill="DDDDDD"/>
            <w:vAlign w:val="center"/>
            <w:hideMark/>
          </w:tcPr>
          <w:p w14:paraId="01C6C084"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10%</w:t>
            </w:r>
          </w:p>
        </w:tc>
        <w:tc>
          <w:tcPr>
            <w:tcW w:w="1296" w:type="dxa"/>
            <w:shd w:val="clear" w:color="auto" w:fill="DDDDDD"/>
            <w:vAlign w:val="center"/>
            <w:hideMark/>
          </w:tcPr>
          <w:p w14:paraId="40D42A58"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0.3</w:t>
            </w:r>
          </w:p>
        </w:tc>
        <w:tc>
          <w:tcPr>
            <w:tcW w:w="1296" w:type="dxa"/>
            <w:shd w:val="clear" w:color="auto" w:fill="DDDDDD"/>
            <w:vAlign w:val="center"/>
            <w:hideMark/>
          </w:tcPr>
          <w:p w14:paraId="26695A20"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12%</w:t>
            </w:r>
          </w:p>
        </w:tc>
        <w:tc>
          <w:tcPr>
            <w:tcW w:w="1296" w:type="dxa"/>
            <w:shd w:val="clear" w:color="auto" w:fill="DDDDDD"/>
            <w:vAlign w:val="center"/>
            <w:hideMark/>
          </w:tcPr>
          <w:p w14:paraId="32B3342D"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0.32</w:t>
            </w:r>
          </w:p>
        </w:tc>
      </w:tr>
      <w:tr w:rsidR="00FD3205" w:rsidRPr="00FD3205" w14:paraId="0B4CEC8A" w14:textId="77777777" w:rsidTr="00374ACF">
        <w:trPr>
          <w:gridAfter w:val="1"/>
          <w:wAfter w:w="432" w:type="dxa"/>
          <w:trHeight w:val="360"/>
          <w:jc w:val="center"/>
        </w:trPr>
        <w:tc>
          <w:tcPr>
            <w:tcW w:w="3312" w:type="dxa"/>
            <w:shd w:val="clear" w:color="auto" w:fill="DDDDDD"/>
            <w:vAlign w:val="center"/>
            <w:hideMark/>
          </w:tcPr>
          <w:p w14:paraId="3D7341CE"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Intermediary advice (Y/N)</w:t>
            </w:r>
          </w:p>
        </w:tc>
        <w:tc>
          <w:tcPr>
            <w:tcW w:w="1296" w:type="dxa"/>
            <w:shd w:val="clear" w:color="auto" w:fill="DDDDDD"/>
            <w:vAlign w:val="center"/>
            <w:hideMark/>
          </w:tcPr>
          <w:p w14:paraId="09B0596D"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32%</w:t>
            </w:r>
          </w:p>
        </w:tc>
        <w:tc>
          <w:tcPr>
            <w:tcW w:w="1296" w:type="dxa"/>
            <w:shd w:val="clear" w:color="auto" w:fill="DDDDDD"/>
            <w:vAlign w:val="center"/>
            <w:hideMark/>
          </w:tcPr>
          <w:p w14:paraId="4D63590D"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0.47</w:t>
            </w:r>
          </w:p>
        </w:tc>
        <w:tc>
          <w:tcPr>
            <w:tcW w:w="1296" w:type="dxa"/>
            <w:shd w:val="clear" w:color="auto" w:fill="DDDDDD"/>
            <w:vAlign w:val="center"/>
            <w:hideMark/>
          </w:tcPr>
          <w:p w14:paraId="775C393C"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20%</w:t>
            </w:r>
          </w:p>
        </w:tc>
        <w:tc>
          <w:tcPr>
            <w:tcW w:w="1296" w:type="dxa"/>
            <w:shd w:val="clear" w:color="auto" w:fill="DDDDDD"/>
            <w:vAlign w:val="center"/>
            <w:hideMark/>
          </w:tcPr>
          <w:p w14:paraId="280CBA1F"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0.4</w:t>
            </w:r>
          </w:p>
        </w:tc>
      </w:tr>
      <w:tr w:rsidR="00FD3205" w:rsidRPr="00FD3205" w14:paraId="5F328868" w14:textId="77777777" w:rsidTr="00374ACF">
        <w:trPr>
          <w:gridAfter w:val="1"/>
          <w:wAfter w:w="432" w:type="dxa"/>
          <w:trHeight w:val="360"/>
          <w:jc w:val="center"/>
        </w:trPr>
        <w:tc>
          <w:tcPr>
            <w:tcW w:w="3312" w:type="dxa"/>
            <w:vAlign w:val="center"/>
            <w:hideMark/>
          </w:tcPr>
          <w:p w14:paraId="211B233B"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Revenues from the main 2 products (ALL)</w:t>
            </w:r>
          </w:p>
        </w:tc>
        <w:tc>
          <w:tcPr>
            <w:tcW w:w="1296" w:type="dxa"/>
            <w:vAlign w:val="center"/>
            <w:hideMark/>
          </w:tcPr>
          <w:p w14:paraId="292351A5"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17,591,633</w:t>
            </w:r>
          </w:p>
        </w:tc>
        <w:tc>
          <w:tcPr>
            <w:tcW w:w="1296" w:type="dxa"/>
            <w:vAlign w:val="center"/>
            <w:hideMark/>
          </w:tcPr>
          <w:p w14:paraId="4AFFFE28"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15,662,790</w:t>
            </w:r>
          </w:p>
        </w:tc>
        <w:tc>
          <w:tcPr>
            <w:tcW w:w="1296" w:type="dxa"/>
            <w:vAlign w:val="center"/>
            <w:hideMark/>
          </w:tcPr>
          <w:p w14:paraId="59C62EDA"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12,192,480</w:t>
            </w:r>
          </w:p>
        </w:tc>
        <w:tc>
          <w:tcPr>
            <w:tcW w:w="1296" w:type="dxa"/>
            <w:vAlign w:val="center"/>
            <w:hideMark/>
          </w:tcPr>
          <w:p w14:paraId="230057BC"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10,409,663</w:t>
            </w:r>
          </w:p>
        </w:tc>
      </w:tr>
      <w:tr w:rsidR="00FD3205" w:rsidRPr="00FD3205" w14:paraId="0D236191" w14:textId="77777777" w:rsidTr="00374ACF">
        <w:trPr>
          <w:gridAfter w:val="1"/>
          <w:wAfter w:w="432" w:type="dxa"/>
          <w:trHeight w:val="360"/>
          <w:jc w:val="center"/>
        </w:trPr>
        <w:tc>
          <w:tcPr>
            <w:tcW w:w="3312" w:type="dxa"/>
            <w:vAlign w:val="center"/>
            <w:hideMark/>
          </w:tcPr>
          <w:p w14:paraId="30A7F811"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Total Greenhouse revenues (ALL)</w:t>
            </w:r>
          </w:p>
        </w:tc>
        <w:tc>
          <w:tcPr>
            <w:tcW w:w="1296" w:type="dxa"/>
            <w:vAlign w:val="center"/>
            <w:hideMark/>
          </w:tcPr>
          <w:p w14:paraId="36E46870"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20,097,245</w:t>
            </w:r>
          </w:p>
        </w:tc>
        <w:tc>
          <w:tcPr>
            <w:tcW w:w="1296" w:type="dxa"/>
            <w:vAlign w:val="center"/>
            <w:hideMark/>
          </w:tcPr>
          <w:p w14:paraId="7387565E"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12,751,006</w:t>
            </w:r>
          </w:p>
        </w:tc>
        <w:tc>
          <w:tcPr>
            <w:tcW w:w="1296" w:type="dxa"/>
            <w:vAlign w:val="center"/>
            <w:hideMark/>
          </w:tcPr>
          <w:p w14:paraId="2A095181"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14,521,102</w:t>
            </w:r>
          </w:p>
        </w:tc>
        <w:tc>
          <w:tcPr>
            <w:tcW w:w="1296" w:type="dxa"/>
            <w:vAlign w:val="center"/>
            <w:hideMark/>
          </w:tcPr>
          <w:p w14:paraId="4288975B"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10,956,211</w:t>
            </w:r>
          </w:p>
        </w:tc>
      </w:tr>
      <w:tr w:rsidR="00FD3205" w:rsidRPr="00FD3205" w14:paraId="23A451A2" w14:textId="77777777" w:rsidTr="00374ACF">
        <w:trPr>
          <w:gridAfter w:val="1"/>
          <w:wAfter w:w="432" w:type="dxa"/>
          <w:trHeight w:val="360"/>
          <w:jc w:val="center"/>
        </w:trPr>
        <w:tc>
          <w:tcPr>
            <w:tcW w:w="3312" w:type="dxa"/>
            <w:vAlign w:val="center"/>
            <w:hideMark/>
          </w:tcPr>
          <w:p w14:paraId="2162B38C"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Farm investment 2013-2018 (ALL)</w:t>
            </w:r>
          </w:p>
        </w:tc>
        <w:tc>
          <w:tcPr>
            <w:tcW w:w="1296" w:type="dxa"/>
            <w:vAlign w:val="center"/>
            <w:hideMark/>
          </w:tcPr>
          <w:p w14:paraId="628EBA5B"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19,944,388</w:t>
            </w:r>
          </w:p>
        </w:tc>
        <w:tc>
          <w:tcPr>
            <w:tcW w:w="1296" w:type="dxa"/>
            <w:vAlign w:val="center"/>
            <w:hideMark/>
          </w:tcPr>
          <w:p w14:paraId="18900D40"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24,616,148</w:t>
            </w:r>
          </w:p>
        </w:tc>
        <w:tc>
          <w:tcPr>
            <w:tcW w:w="1296" w:type="dxa"/>
            <w:vAlign w:val="center"/>
            <w:hideMark/>
          </w:tcPr>
          <w:p w14:paraId="69592212"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11,340,945</w:t>
            </w:r>
          </w:p>
        </w:tc>
        <w:tc>
          <w:tcPr>
            <w:tcW w:w="1296" w:type="dxa"/>
            <w:vAlign w:val="center"/>
            <w:hideMark/>
          </w:tcPr>
          <w:p w14:paraId="1B7CF3DE"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13,302,329</w:t>
            </w:r>
          </w:p>
        </w:tc>
      </w:tr>
      <w:tr w:rsidR="00FD3205" w:rsidRPr="00FD3205" w14:paraId="26CC9886" w14:textId="77777777" w:rsidTr="00374ACF">
        <w:trPr>
          <w:gridAfter w:val="1"/>
          <w:wAfter w:w="432" w:type="dxa"/>
          <w:trHeight w:val="360"/>
          <w:jc w:val="center"/>
        </w:trPr>
        <w:tc>
          <w:tcPr>
            <w:tcW w:w="3312" w:type="dxa"/>
            <w:vAlign w:val="center"/>
            <w:hideMark/>
          </w:tcPr>
          <w:p w14:paraId="71DC805A"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Plans to invest in the next 5 years (ALL)</w:t>
            </w:r>
          </w:p>
        </w:tc>
        <w:tc>
          <w:tcPr>
            <w:tcW w:w="1296" w:type="dxa"/>
            <w:vAlign w:val="center"/>
            <w:hideMark/>
          </w:tcPr>
          <w:p w14:paraId="3334E7FE"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11,568,367</w:t>
            </w:r>
          </w:p>
        </w:tc>
        <w:tc>
          <w:tcPr>
            <w:tcW w:w="1296" w:type="dxa"/>
            <w:vAlign w:val="center"/>
            <w:hideMark/>
          </w:tcPr>
          <w:p w14:paraId="0FB4D950"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26,669,422</w:t>
            </w:r>
          </w:p>
        </w:tc>
        <w:tc>
          <w:tcPr>
            <w:tcW w:w="1296" w:type="dxa"/>
            <w:vAlign w:val="center"/>
            <w:hideMark/>
          </w:tcPr>
          <w:p w14:paraId="280183F7"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5,692,913</w:t>
            </w:r>
          </w:p>
        </w:tc>
        <w:tc>
          <w:tcPr>
            <w:tcW w:w="1296" w:type="dxa"/>
            <w:vAlign w:val="center"/>
            <w:hideMark/>
          </w:tcPr>
          <w:p w14:paraId="5D307385"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16,619,701</w:t>
            </w:r>
          </w:p>
        </w:tc>
      </w:tr>
      <w:tr w:rsidR="00FD3205" w:rsidRPr="00FD3205" w14:paraId="03075677" w14:textId="77777777" w:rsidTr="00374ACF">
        <w:trPr>
          <w:gridAfter w:val="1"/>
          <w:wAfter w:w="432" w:type="dxa"/>
          <w:trHeight w:val="360"/>
          <w:jc w:val="center"/>
        </w:trPr>
        <w:tc>
          <w:tcPr>
            <w:tcW w:w="3312" w:type="dxa"/>
            <w:vAlign w:val="center"/>
            <w:hideMark/>
          </w:tcPr>
          <w:p w14:paraId="1204130A"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No Hired workers</w:t>
            </w:r>
          </w:p>
        </w:tc>
        <w:tc>
          <w:tcPr>
            <w:tcW w:w="1296" w:type="dxa"/>
            <w:vAlign w:val="center"/>
            <w:hideMark/>
          </w:tcPr>
          <w:p w14:paraId="415B2F9D"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2.17</w:t>
            </w:r>
          </w:p>
        </w:tc>
        <w:tc>
          <w:tcPr>
            <w:tcW w:w="1296" w:type="dxa"/>
            <w:vAlign w:val="center"/>
            <w:hideMark/>
          </w:tcPr>
          <w:p w14:paraId="623E70BA"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3.05</w:t>
            </w:r>
          </w:p>
        </w:tc>
        <w:tc>
          <w:tcPr>
            <w:tcW w:w="1296" w:type="dxa"/>
            <w:vAlign w:val="center"/>
            <w:hideMark/>
          </w:tcPr>
          <w:p w14:paraId="10776F7B"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1.43</w:t>
            </w:r>
          </w:p>
        </w:tc>
        <w:tc>
          <w:tcPr>
            <w:tcW w:w="1296" w:type="dxa"/>
            <w:vAlign w:val="center"/>
            <w:hideMark/>
          </w:tcPr>
          <w:p w14:paraId="50FC8857"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2.14</w:t>
            </w:r>
          </w:p>
        </w:tc>
      </w:tr>
      <w:tr w:rsidR="00FD3205" w:rsidRPr="00FD3205" w14:paraId="6D0B5F1D" w14:textId="77777777" w:rsidTr="00374ACF">
        <w:trPr>
          <w:gridAfter w:val="1"/>
          <w:wAfter w:w="432" w:type="dxa"/>
          <w:trHeight w:val="360"/>
          <w:jc w:val="center"/>
        </w:trPr>
        <w:tc>
          <w:tcPr>
            <w:tcW w:w="3312" w:type="dxa"/>
            <w:vAlign w:val="center"/>
            <w:hideMark/>
          </w:tcPr>
          <w:p w14:paraId="4B8CB313" w14:textId="77777777" w:rsidR="00FD3205" w:rsidRPr="00FD3205" w:rsidRDefault="00FD3205" w:rsidP="00FD3205">
            <w:pPr>
              <w:rPr>
                <w:rFonts w:ascii="Times New Roman" w:hAnsi="Times New Roman" w:cs="Times New Roman"/>
                <w:kern w:val="24"/>
              </w:rPr>
            </w:pPr>
            <w:r w:rsidRPr="00FD3205">
              <w:rPr>
                <w:rFonts w:ascii="Times New Roman" w:hAnsi="Times New Roman" w:cs="Times New Roman"/>
                <w:kern w:val="24"/>
              </w:rPr>
              <w:t>Greenhouse area (</w:t>
            </w:r>
            <w:proofErr w:type="spellStart"/>
            <w:r w:rsidRPr="00FD3205">
              <w:rPr>
                <w:rFonts w:ascii="Times New Roman" w:hAnsi="Times New Roman" w:cs="Times New Roman"/>
                <w:kern w:val="24"/>
              </w:rPr>
              <w:t>dynym</w:t>
            </w:r>
            <w:proofErr w:type="spellEnd"/>
            <w:r w:rsidRPr="00FD3205">
              <w:rPr>
                <w:rFonts w:ascii="Times New Roman" w:hAnsi="Times New Roman" w:cs="Times New Roman"/>
                <w:kern w:val="24"/>
              </w:rPr>
              <w:t>*)</w:t>
            </w:r>
          </w:p>
        </w:tc>
        <w:tc>
          <w:tcPr>
            <w:tcW w:w="1296" w:type="dxa"/>
            <w:vAlign w:val="center"/>
            <w:hideMark/>
          </w:tcPr>
          <w:p w14:paraId="6FBEC14F"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6.15</w:t>
            </w:r>
          </w:p>
        </w:tc>
        <w:tc>
          <w:tcPr>
            <w:tcW w:w="1296" w:type="dxa"/>
            <w:vAlign w:val="center"/>
            <w:hideMark/>
          </w:tcPr>
          <w:p w14:paraId="040AE9A4"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5.44</w:t>
            </w:r>
          </w:p>
        </w:tc>
        <w:tc>
          <w:tcPr>
            <w:tcW w:w="1296" w:type="dxa"/>
            <w:vAlign w:val="center"/>
            <w:hideMark/>
          </w:tcPr>
          <w:p w14:paraId="31B1E875"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4.08</w:t>
            </w:r>
          </w:p>
        </w:tc>
        <w:tc>
          <w:tcPr>
            <w:tcW w:w="1296" w:type="dxa"/>
            <w:vAlign w:val="center"/>
            <w:hideMark/>
          </w:tcPr>
          <w:p w14:paraId="112FACF8" w14:textId="77777777" w:rsidR="00FD3205" w:rsidRPr="00FD3205" w:rsidRDefault="00FD3205" w:rsidP="00FD3205">
            <w:pPr>
              <w:jc w:val="center"/>
              <w:rPr>
                <w:rFonts w:ascii="Times New Roman" w:hAnsi="Times New Roman" w:cs="Times New Roman"/>
                <w:kern w:val="24"/>
              </w:rPr>
            </w:pPr>
            <w:r w:rsidRPr="00FD3205">
              <w:rPr>
                <w:rFonts w:ascii="Times New Roman" w:hAnsi="Times New Roman" w:cs="Times New Roman"/>
                <w:kern w:val="24"/>
              </w:rPr>
              <w:t>2.74</w:t>
            </w:r>
          </w:p>
        </w:tc>
      </w:tr>
    </w:tbl>
    <w:p w14:paraId="684CBE23" w14:textId="77777777" w:rsidR="00FD3205" w:rsidRPr="00FD3205" w:rsidRDefault="00FD3205" w:rsidP="00FD3205">
      <w:pPr>
        <w:spacing w:after="0" w:line="240" w:lineRule="auto"/>
        <w:jc w:val="both"/>
        <w:rPr>
          <w:rFonts w:ascii="Times New Roman" w:eastAsia="SimSun" w:hAnsi="Times New Roman" w:cs="Times New Roman"/>
          <w:kern w:val="24"/>
          <w:sz w:val="20"/>
          <w:szCs w:val="20"/>
          <w:lang w:eastAsia="ja-JP"/>
        </w:rPr>
      </w:pPr>
      <w:r w:rsidRPr="00FD3205">
        <w:rPr>
          <w:rFonts w:ascii="Times New Roman" w:eastAsia="SimSun" w:hAnsi="Times New Roman" w:cs="Times New Roman"/>
          <w:kern w:val="24"/>
          <w:sz w:val="20"/>
          <w:szCs w:val="20"/>
          <w:lang w:eastAsia="ja-JP"/>
        </w:rPr>
        <w:t xml:space="preserve">Note: </w:t>
      </w:r>
      <w:proofErr w:type="spellStart"/>
      <w:r w:rsidRPr="00FD3205">
        <w:rPr>
          <w:rFonts w:ascii="Times New Roman" w:eastAsia="SimSun" w:hAnsi="Times New Roman" w:cs="Times New Roman"/>
          <w:kern w:val="24"/>
          <w:sz w:val="20"/>
          <w:szCs w:val="20"/>
          <w:lang w:eastAsia="ja-JP"/>
        </w:rPr>
        <w:t>dynym</w:t>
      </w:r>
      <w:proofErr w:type="spellEnd"/>
      <w:r w:rsidRPr="00FD3205">
        <w:rPr>
          <w:rFonts w:ascii="Times New Roman" w:eastAsia="SimSun" w:hAnsi="Times New Roman" w:cs="Times New Roman"/>
          <w:kern w:val="24"/>
          <w:sz w:val="20"/>
          <w:szCs w:val="20"/>
          <w:lang w:eastAsia="ja-JP"/>
        </w:rPr>
        <w:t xml:space="preserve"> is 0.1 Ha; Y/N </w:t>
      </w:r>
      <w:r w:rsidRPr="00FD3205">
        <w:rPr>
          <w:rFonts w:ascii="Times New Roman" w:eastAsia="SimSun" w:hAnsi="Times New Roman" w:cs="Times New Roman"/>
          <w:kern w:val="24"/>
          <w:sz w:val="20"/>
          <w:szCs w:val="20"/>
          <w:lang w:eastAsia="ja-JP"/>
        </w:rPr>
        <w:sym w:font="Wingdings" w:char="F0E0"/>
      </w:r>
      <w:r w:rsidRPr="00FD3205">
        <w:rPr>
          <w:rFonts w:ascii="Times New Roman" w:eastAsia="SimSun" w:hAnsi="Times New Roman" w:cs="Times New Roman"/>
          <w:kern w:val="24"/>
          <w:sz w:val="20"/>
          <w:szCs w:val="20"/>
          <w:lang w:eastAsia="ja-JP"/>
        </w:rPr>
        <w:t xml:space="preserve"> the answer is a yes or no and the mean value shows the share of respondents that have answered yes; ALL </w:t>
      </w:r>
      <w:r w:rsidRPr="00FD3205">
        <w:rPr>
          <w:rFonts w:ascii="Times New Roman" w:eastAsia="SimSun" w:hAnsi="Times New Roman" w:cs="Times New Roman"/>
          <w:kern w:val="24"/>
          <w:sz w:val="20"/>
          <w:szCs w:val="20"/>
          <w:lang w:eastAsia="ja-JP"/>
        </w:rPr>
        <w:sym w:font="Wingdings" w:char="F0E0"/>
      </w:r>
      <w:r w:rsidRPr="00FD3205">
        <w:rPr>
          <w:rFonts w:ascii="Times New Roman" w:eastAsia="SimSun" w:hAnsi="Times New Roman" w:cs="Times New Roman"/>
          <w:kern w:val="24"/>
          <w:sz w:val="20"/>
          <w:szCs w:val="20"/>
          <w:lang w:eastAsia="ja-JP"/>
        </w:rPr>
        <w:t xml:space="preserve"> </w:t>
      </w:r>
      <w:bookmarkStart w:id="24" w:name="_Hlk77491116"/>
      <w:r w:rsidRPr="00FD3205">
        <w:rPr>
          <w:rFonts w:ascii="Times New Roman" w:eastAsia="SimSun" w:hAnsi="Times New Roman" w:cs="Times New Roman"/>
          <w:kern w:val="24"/>
          <w:sz w:val="20"/>
          <w:szCs w:val="20"/>
          <w:lang w:eastAsia="ja-JP"/>
        </w:rPr>
        <w:t>Albanian Lek (old format – has one more zero) – 1 ALL ~ 0.000816 (exchange rate 18/7/2021)</w:t>
      </w:r>
    </w:p>
    <w:bookmarkEnd w:id="24"/>
    <w:p w14:paraId="70B4E4C9" w14:textId="75D842F4" w:rsidR="00FD3205" w:rsidRPr="00561FC0" w:rsidRDefault="00FD3205" w:rsidP="00561FC0">
      <w:pPr>
        <w:spacing w:before="240" w:line="276" w:lineRule="auto"/>
        <w:jc w:val="both"/>
        <w:rPr>
          <w:rFonts w:ascii="Times New Roman" w:hAnsi="Times New Roman" w:cs="Times New Roman"/>
          <w:sz w:val="24"/>
          <w:szCs w:val="24"/>
        </w:rPr>
      </w:pPr>
      <w:r w:rsidRPr="00561FC0">
        <w:rPr>
          <w:rFonts w:ascii="Times New Roman" w:hAnsi="Times New Roman" w:cs="Times New Roman"/>
          <w:sz w:val="24"/>
          <w:szCs w:val="24"/>
        </w:rPr>
        <w:t xml:space="preserve">To assess the subsidy scheme impact two approaches are employed. In the first approach the impact is evaluated with causal forests which is an adaptation of the random forest algorithm of </w:t>
      </w:r>
      <w:proofErr w:type="spellStart"/>
      <w:r w:rsidRPr="00561FC0">
        <w:rPr>
          <w:rFonts w:ascii="Times New Roman" w:hAnsi="Times New Roman" w:cs="Times New Roman"/>
          <w:sz w:val="24"/>
          <w:szCs w:val="24"/>
        </w:rPr>
        <w:t>Breiman</w:t>
      </w:r>
      <w:proofErr w:type="spellEnd"/>
      <w:r w:rsidRPr="00561FC0">
        <w:rPr>
          <w:rFonts w:ascii="Times New Roman" w:hAnsi="Times New Roman" w:cs="Times New Roman"/>
          <w:sz w:val="24"/>
          <w:szCs w:val="24"/>
        </w:rPr>
        <w:t xml:space="preserve"> (2001) to the problem treatment effect estimation. Whereas, in the second approach matching is used to match beneficiaries and non-beneficiaries on observables (e.g., family size, educational level, age, etc.) to make them as similar as possible. In other words, to equate (or "balance") the distribution of covariates in the treated and control groups, so that the only thing that they would differ is treatment (benefiting from the irrigation project). Then, to assess subsidy impact the average treatment effect (ATE) is estimated by regressing the treatment and covariates used during matching on the outcome of interest.</w:t>
      </w:r>
    </w:p>
    <w:p w14:paraId="66B9DB9E" w14:textId="77777777" w:rsidR="00FD3205" w:rsidRPr="00561FC0" w:rsidRDefault="00FD3205" w:rsidP="00561FC0">
      <w:pPr>
        <w:spacing w:line="276" w:lineRule="auto"/>
        <w:jc w:val="both"/>
        <w:rPr>
          <w:rFonts w:ascii="Times New Roman" w:hAnsi="Times New Roman" w:cs="Times New Roman"/>
          <w:sz w:val="24"/>
          <w:szCs w:val="24"/>
        </w:rPr>
      </w:pPr>
      <w:r w:rsidRPr="00561FC0">
        <w:rPr>
          <w:rFonts w:ascii="Times New Roman" w:hAnsi="Times New Roman" w:cs="Times New Roman"/>
          <w:sz w:val="24"/>
          <w:szCs w:val="24"/>
        </w:rPr>
        <w:lastRenderedPageBreak/>
        <w:t xml:space="preserve">Here causal effects are defined via the potential outcomes </w:t>
      </w:r>
      <w:r w:rsidRPr="00561FC0">
        <w:rPr>
          <w:rFonts w:ascii="Times New Roman" w:hAnsi="Times New Roman" w:cs="Times New Roman"/>
          <w:color w:val="000000" w:themeColor="text1"/>
          <w:sz w:val="24"/>
          <w:szCs w:val="24"/>
        </w:rPr>
        <w:t>model (</w:t>
      </w:r>
      <w:proofErr w:type="spellStart"/>
      <w:r w:rsidRPr="00561FC0">
        <w:rPr>
          <w:rFonts w:ascii="Times New Roman" w:hAnsi="Times New Roman" w:cs="Times New Roman"/>
          <w:color w:val="000000" w:themeColor="text1"/>
          <w:sz w:val="24"/>
          <w:szCs w:val="24"/>
        </w:rPr>
        <w:t>Imbens</w:t>
      </w:r>
      <w:proofErr w:type="spellEnd"/>
      <w:r w:rsidRPr="00561FC0">
        <w:rPr>
          <w:rFonts w:ascii="Times New Roman" w:hAnsi="Times New Roman" w:cs="Times New Roman"/>
          <w:color w:val="000000" w:themeColor="text1"/>
          <w:sz w:val="24"/>
          <w:szCs w:val="24"/>
        </w:rPr>
        <w:t xml:space="preserve"> and Rubin, 2015): </w:t>
      </w:r>
      <w:r w:rsidRPr="00561FC0">
        <w:rPr>
          <w:rFonts w:ascii="Times New Roman" w:hAnsi="Times New Roman" w:cs="Times New Roman"/>
          <w:sz w:val="24"/>
          <w:szCs w:val="24"/>
        </w:rPr>
        <w:t xml:space="preserve">For each sample </w:t>
      </w:r>
      <w:r w:rsidRPr="00561FC0">
        <w:rPr>
          <w:rFonts w:ascii="Times New Roman" w:hAnsi="Times New Roman" w:cs="Times New Roman"/>
          <w:i/>
          <w:iCs/>
          <w:sz w:val="24"/>
          <w:szCs w:val="24"/>
        </w:rPr>
        <w:t>i</w:t>
      </w:r>
      <w:r w:rsidRPr="00561FC0">
        <w:rPr>
          <w:rFonts w:ascii="Times New Roman" w:hAnsi="Times New Roman" w:cs="Times New Roman"/>
          <w:sz w:val="24"/>
          <w:szCs w:val="24"/>
        </w:rPr>
        <w:t xml:space="preserve">, is assumed that the potential outcomes </w:t>
      </w:r>
      <w:proofErr w:type="gramStart"/>
      <w:r w:rsidRPr="00561FC0">
        <w:rPr>
          <w:rFonts w:ascii="Times New Roman" w:hAnsi="Times New Roman" w:cs="Times New Roman"/>
          <w:i/>
          <w:iCs/>
          <w:sz w:val="24"/>
          <w:szCs w:val="24"/>
        </w:rPr>
        <w:t>Y</w:t>
      </w:r>
      <w:r w:rsidRPr="00561FC0">
        <w:rPr>
          <w:rFonts w:ascii="Times New Roman" w:hAnsi="Times New Roman" w:cs="Times New Roman"/>
          <w:i/>
          <w:iCs/>
          <w:sz w:val="24"/>
          <w:szCs w:val="24"/>
          <w:vertAlign w:val="subscript"/>
        </w:rPr>
        <w:t>i</w:t>
      </w:r>
      <w:r w:rsidRPr="00561FC0">
        <w:rPr>
          <w:rFonts w:ascii="Times New Roman" w:hAnsi="Times New Roman" w:cs="Times New Roman"/>
          <w:sz w:val="24"/>
          <w:szCs w:val="24"/>
        </w:rPr>
        <w:t>(</w:t>
      </w:r>
      <w:proofErr w:type="gramEnd"/>
      <w:r w:rsidRPr="00561FC0">
        <w:rPr>
          <w:rFonts w:ascii="Times New Roman" w:hAnsi="Times New Roman" w:cs="Times New Roman"/>
          <w:sz w:val="24"/>
          <w:szCs w:val="24"/>
        </w:rPr>
        <w:t xml:space="preserve">0) and </w:t>
      </w:r>
      <w:r w:rsidRPr="00561FC0">
        <w:rPr>
          <w:rFonts w:ascii="Times New Roman" w:hAnsi="Times New Roman" w:cs="Times New Roman"/>
          <w:i/>
          <w:iCs/>
          <w:sz w:val="24"/>
          <w:szCs w:val="24"/>
        </w:rPr>
        <w:t>Y</w:t>
      </w:r>
      <w:r w:rsidRPr="00561FC0">
        <w:rPr>
          <w:rFonts w:ascii="Times New Roman" w:hAnsi="Times New Roman" w:cs="Times New Roman"/>
          <w:i/>
          <w:iCs/>
          <w:sz w:val="24"/>
          <w:szCs w:val="24"/>
          <w:vertAlign w:val="subscript"/>
        </w:rPr>
        <w:t>i</w:t>
      </w:r>
      <w:r w:rsidRPr="00561FC0">
        <w:rPr>
          <w:rFonts w:ascii="Times New Roman" w:hAnsi="Times New Roman" w:cs="Times New Roman"/>
          <w:sz w:val="24"/>
          <w:szCs w:val="24"/>
        </w:rPr>
        <w:t xml:space="preserve">(1) corresponding to the outcome we would have observed had we assigned control or treatment (W) to the </w:t>
      </w:r>
      <w:proofErr w:type="spellStart"/>
      <w:r w:rsidRPr="00561FC0">
        <w:rPr>
          <w:rFonts w:ascii="Times New Roman" w:hAnsi="Times New Roman" w:cs="Times New Roman"/>
          <w:i/>
          <w:iCs/>
          <w:sz w:val="24"/>
          <w:szCs w:val="24"/>
        </w:rPr>
        <w:t>i</w:t>
      </w:r>
      <w:r w:rsidRPr="00561FC0">
        <w:rPr>
          <w:rFonts w:ascii="Times New Roman" w:hAnsi="Times New Roman" w:cs="Times New Roman"/>
          <w:sz w:val="24"/>
          <w:szCs w:val="24"/>
        </w:rPr>
        <w:t>-th</w:t>
      </w:r>
      <w:proofErr w:type="spellEnd"/>
      <w:r w:rsidRPr="00561FC0">
        <w:rPr>
          <w:rFonts w:ascii="Times New Roman" w:hAnsi="Times New Roman" w:cs="Times New Roman"/>
          <w:sz w:val="24"/>
          <w:szCs w:val="24"/>
        </w:rPr>
        <w:t xml:space="preserve"> sample, and assume that we observe </w:t>
      </w:r>
      <w:r w:rsidRPr="00561FC0">
        <w:rPr>
          <w:rFonts w:ascii="Times New Roman" w:hAnsi="Times New Roman" w:cs="Times New Roman"/>
          <w:i/>
          <w:iCs/>
          <w:sz w:val="24"/>
          <w:szCs w:val="24"/>
        </w:rPr>
        <w:t>Y</w:t>
      </w:r>
      <w:r w:rsidRPr="00561FC0">
        <w:rPr>
          <w:rFonts w:ascii="Times New Roman" w:hAnsi="Times New Roman" w:cs="Times New Roman"/>
          <w:i/>
          <w:iCs/>
          <w:sz w:val="24"/>
          <w:szCs w:val="24"/>
          <w:vertAlign w:val="subscript"/>
        </w:rPr>
        <w:t>i</w:t>
      </w:r>
      <w:r w:rsidRPr="00561FC0">
        <w:rPr>
          <w:rFonts w:ascii="Times New Roman" w:hAnsi="Times New Roman" w:cs="Times New Roman"/>
          <w:i/>
          <w:iCs/>
          <w:sz w:val="24"/>
          <w:szCs w:val="24"/>
        </w:rPr>
        <w:t xml:space="preserve"> = Y</w:t>
      </w:r>
      <w:r w:rsidRPr="00561FC0">
        <w:rPr>
          <w:rFonts w:ascii="Times New Roman" w:hAnsi="Times New Roman" w:cs="Times New Roman"/>
          <w:i/>
          <w:iCs/>
          <w:sz w:val="24"/>
          <w:szCs w:val="24"/>
          <w:vertAlign w:val="subscript"/>
        </w:rPr>
        <w:t>i</w:t>
      </w:r>
      <w:r w:rsidRPr="00561FC0">
        <w:rPr>
          <w:rFonts w:ascii="Times New Roman" w:hAnsi="Times New Roman" w:cs="Times New Roman"/>
          <w:i/>
          <w:iCs/>
          <w:sz w:val="24"/>
          <w:szCs w:val="24"/>
        </w:rPr>
        <w:t>(W</w:t>
      </w:r>
      <w:r w:rsidRPr="00561FC0">
        <w:rPr>
          <w:rFonts w:ascii="Times New Roman" w:hAnsi="Times New Roman" w:cs="Times New Roman"/>
          <w:i/>
          <w:iCs/>
          <w:sz w:val="24"/>
          <w:szCs w:val="24"/>
          <w:vertAlign w:val="subscript"/>
        </w:rPr>
        <w:t>i</w:t>
      </w:r>
      <w:r w:rsidRPr="00561FC0">
        <w:rPr>
          <w:rFonts w:ascii="Times New Roman" w:hAnsi="Times New Roman" w:cs="Times New Roman"/>
          <w:i/>
          <w:iCs/>
          <w:sz w:val="24"/>
          <w:szCs w:val="24"/>
        </w:rPr>
        <w:t>).</w:t>
      </w:r>
      <w:r w:rsidRPr="00561FC0">
        <w:rPr>
          <w:rFonts w:ascii="Times New Roman" w:hAnsi="Times New Roman" w:cs="Times New Roman"/>
          <w:sz w:val="24"/>
          <w:szCs w:val="24"/>
        </w:rPr>
        <w:t xml:space="preserve"> The average treatment effect is then defined as </w:t>
      </w:r>
      <m:oMath>
        <m:r>
          <w:rPr>
            <w:rFonts w:ascii="Cambria Math" w:hAnsi="Cambria Math" w:cs="Times New Roman"/>
            <w:sz w:val="24"/>
            <w:szCs w:val="24"/>
          </w:rPr>
          <m:t>τ=</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0</m:t>
                </m:r>
              </m:e>
            </m:d>
          </m:e>
        </m:d>
      </m:oMath>
      <w:r w:rsidRPr="00561FC0">
        <w:rPr>
          <w:rFonts w:ascii="Times New Roman" w:hAnsi="Times New Roman" w:cs="Times New Roman"/>
          <w:sz w:val="24"/>
          <w:szCs w:val="24"/>
        </w:rPr>
        <w:t xml:space="preserve">, and the conditional average treatment effect function is </w:t>
      </w:r>
      <m:oMath>
        <m:r>
          <w:rPr>
            <w:rFonts w:ascii="Cambria Math" w:hAnsi="Cambria Math" w:cs="Times New Roman"/>
            <w:sz w:val="24"/>
            <w:szCs w:val="24"/>
          </w:rPr>
          <m:t>τ</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=x</m:t>
            </m:r>
          </m:e>
        </m:d>
      </m:oMath>
      <w:r w:rsidRPr="00561FC0">
        <w:rPr>
          <w:rFonts w:ascii="Times New Roman" w:hAnsi="Times New Roman" w:cs="Times New Roman"/>
          <w:sz w:val="24"/>
          <w:szCs w:val="24"/>
        </w:rPr>
        <w:t>. In order to identify causal effects, we assume unconfoundedness (i.e., that treatment assignment is as good as random conditionally on covariates (Rosenbaum and Rubin, 1983).</w:t>
      </w:r>
    </w:p>
    <w:p w14:paraId="032B2C1F" w14:textId="79C2A517" w:rsidR="00FD3205" w:rsidRPr="00561FC0" w:rsidRDefault="00FD3205" w:rsidP="00561FC0">
      <w:pPr>
        <w:spacing w:line="276" w:lineRule="auto"/>
        <w:jc w:val="both"/>
        <w:rPr>
          <w:rFonts w:ascii="Times New Roman" w:hAnsi="Times New Roman" w:cs="Times New Roman"/>
          <w:sz w:val="24"/>
          <w:szCs w:val="24"/>
        </w:rPr>
      </w:pPr>
      <w:r w:rsidRPr="00561FC0">
        <w:rPr>
          <w:rFonts w:ascii="Times New Roman" w:hAnsi="Times New Roman" w:cs="Times New Roman"/>
          <w:sz w:val="24"/>
          <w:szCs w:val="24"/>
        </w:rPr>
        <w:t xml:space="preserve">Here the casual forest estimation is done through the </w:t>
      </w:r>
      <w:proofErr w:type="spellStart"/>
      <w:r w:rsidRPr="00561FC0">
        <w:rPr>
          <w:rFonts w:ascii="Times New Roman" w:hAnsi="Times New Roman" w:cs="Times New Roman"/>
          <w:sz w:val="24"/>
          <w:szCs w:val="24"/>
        </w:rPr>
        <w:t>grf</w:t>
      </w:r>
      <w:proofErr w:type="spellEnd"/>
      <w:r w:rsidRPr="00561FC0">
        <w:rPr>
          <w:rFonts w:ascii="Times New Roman" w:hAnsi="Times New Roman" w:cs="Times New Roman"/>
          <w:sz w:val="24"/>
          <w:szCs w:val="24"/>
        </w:rPr>
        <w:t xml:space="preserve"> R package, which starts by fitting two separate regression forests to estimate </w:t>
      </w:r>
      <m:oMath>
        <m:acc>
          <m:accPr>
            <m:ctrlPr>
              <w:rPr>
                <w:rFonts w:ascii="Cambria Math" w:hAnsi="Cambria Math" w:cs="Times New Roman"/>
                <w:i/>
                <w:sz w:val="24"/>
                <w:szCs w:val="24"/>
              </w:rPr>
            </m:ctrlPr>
          </m:accPr>
          <m:e>
            <m:r>
              <w:rPr>
                <w:rFonts w:ascii="Cambria Math" w:hAnsi="Cambria Math" w:cs="Times New Roman"/>
                <w:sz w:val="24"/>
                <w:szCs w:val="24"/>
              </w:rPr>
              <m:t>m</m:t>
            </m:r>
          </m:e>
        </m:acc>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 xml:space="preserve"> </m:t>
        </m:r>
      </m:oMath>
      <w:r w:rsidRPr="00561FC0">
        <w:rPr>
          <w:rFonts w:ascii="Times New Roman" w:eastAsiaTheme="minorEastAsia" w:hAnsi="Times New Roman" w:cs="Times New Roman"/>
          <w:sz w:val="24"/>
          <w:szCs w:val="24"/>
        </w:rPr>
        <w:t xml:space="preserve"> (main </w:t>
      </w:r>
      <w:r w:rsidRPr="00561FC0">
        <w:rPr>
          <w:rFonts w:ascii="Times New Roman" w:hAnsi="Times New Roman" w:cs="Times New Roman"/>
          <w:sz w:val="24"/>
          <w:szCs w:val="24"/>
        </w:rPr>
        <w:t xml:space="preserve">effect function) and </w:t>
      </w:r>
      <m:oMath>
        <m:acc>
          <m:accPr>
            <m:ctrlPr>
              <w:rPr>
                <w:rFonts w:ascii="Cambria Math" w:hAnsi="Cambria Math" w:cs="Times New Roman"/>
                <w:sz w:val="24"/>
                <w:szCs w:val="24"/>
              </w:rPr>
            </m:ctrlPr>
          </m:accPr>
          <m:e>
            <m:r>
              <w:rPr>
                <w:rFonts w:ascii="Cambria Math" w:hAnsi="Cambria Math" w:cs="Times New Roman"/>
                <w:sz w:val="24"/>
                <w:szCs w:val="24"/>
              </w:rPr>
              <m:t>e</m:t>
            </m:r>
          </m:e>
        </m:acc>
        <m:d>
          <m:dPr>
            <m:ctrlPr>
              <w:rPr>
                <w:rFonts w:ascii="Cambria Math" w:hAnsi="Cambria Math" w:cs="Times New Roman"/>
                <w:sz w:val="24"/>
                <w:szCs w:val="24"/>
              </w:rPr>
            </m:ctrlPr>
          </m:dPr>
          <m:e>
            <m:r>
              <w:rPr>
                <w:rFonts w:ascii="Cambria Math" w:hAnsi="Cambria Math" w:cs="Times New Roman"/>
                <w:sz w:val="24"/>
                <w:szCs w:val="24"/>
              </w:rPr>
              <m:t>∙</m:t>
            </m:r>
          </m:e>
        </m:d>
      </m:oMath>
      <w:r w:rsidRPr="00561FC0">
        <w:rPr>
          <w:rFonts w:ascii="Times New Roman" w:hAnsi="Times New Roman" w:cs="Times New Roman"/>
          <w:sz w:val="24"/>
          <w:szCs w:val="24"/>
        </w:rPr>
        <w:t xml:space="preserve"> (propensity function). It then makes out-of-bag predictions using these two first-stage </w:t>
      </w:r>
      <w:r w:rsidRPr="00FD3205">
        <w:rPr>
          <w:rFonts w:ascii="Times New Roman" w:hAnsi="Times New Roman" w:cs="Times New Roman"/>
          <w:sz w:val="24"/>
          <w:szCs w:val="24"/>
        </w:rPr>
        <w:t>forests and</w:t>
      </w:r>
      <w:r w:rsidRPr="00561FC0">
        <w:rPr>
          <w:rFonts w:ascii="Times New Roman" w:hAnsi="Times New Roman" w:cs="Times New Roman"/>
          <w:sz w:val="24"/>
          <w:szCs w:val="24"/>
        </w:rPr>
        <w:t xml:space="preserve"> uses them to grow a causal forest (see equation 7 in </w:t>
      </w:r>
      <w:proofErr w:type="spellStart"/>
      <w:r w:rsidRPr="00561FC0">
        <w:rPr>
          <w:rFonts w:ascii="Times New Roman" w:hAnsi="Times New Roman" w:cs="Times New Roman"/>
          <w:sz w:val="24"/>
          <w:szCs w:val="24"/>
        </w:rPr>
        <w:t>Athey</w:t>
      </w:r>
      <w:proofErr w:type="spellEnd"/>
      <w:r w:rsidRPr="00561FC0">
        <w:rPr>
          <w:rFonts w:ascii="Times New Roman" w:hAnsi="Times New Roman" w:cs="Times New Roman"/>
          <w:sz w:val="24"/>
          <w:szCs w:val="24"/>
        </w:rPr>
        <w:t xml:space="preserve"> and Wager, 2019). Then casual forest is trained and its parameters (e.g., min node size) are tuned by cross-validation (i.e., the parameters that minimize the objective function are selected). In addition, to improve precision as suggested by </w:t>
      </w:r>
      <w:proofErr w:type="spellStart"/>
      <w:r w:rsidRPr="00561FC0">
        <w:rPr>
          <w:rFonts w:ascii="Times New Roman" w:hAnsi="Times New Roman" w:cs="Times New Roman"/>
          <w:sz w:val="24"/>
          <w:szCs w:val="24"/>
        </w:rPr>
        <w:t>Athey</w:t>
      </w:r>
      <w:proofErr w:type="spellEnd"/>
      <w:r w:rsidRPr="00561FC0">
        <w:rPr>
          <w:rFonts w:ascii="Times New Roman" w:hAnsi="Times New Roman" w:cs="Times New Roman"/>
          <w:sz w:val="24"/>
          <w:szCs w:val="24"/>
        </w:rPr>
        <w:t xml:space="preserve"> and Wager (2019) first a pilot random forest is trained on all features (not all are presented here), and then train a second on only those features that saw a reasonable number of splits in the first step. Given good estimates of </w:t>
      </w:r>
      <w:proofErr w:type="spellStart"/>
      <w:r w:rsidRPr="00561FC0">
        <w:rPr>
          <w:rFonts w:ascii="Times New Roman" w:hAnsi="Times New Roman" w:cs="Times New Roman"/>
          <w:sz w:val="24"/>
          <w:szCs w:val="24"/>
        </w:rPr>
        <w:t>Y.hat</w:t>
      </w:r>
      <w:proofErr w:type="spellEnd"/>
      <w:r w:rsidRPr="00561FC0">
        <w:rPr>
          <w:rFonts w:ascii="Times New Roman" w:hAnsi="Times New Roman" w:cs="Times New Roman"/>
          <w:sz w:val="24"/>
          <w:szCs w:val="24"/>
        </w:rPr>
        <w:t xml:space="preserve"> and </w:t>
      </w:r>
      <w:proofErr w:type="spellStart"/>
      <w:r w:rsidRPr="00561FC0">
        <w:rPr>
          <w:rFonts w:ascii="Times New Roman" w:hAnsi="Times New Roman" w:cs="Times New Roman"/>
          <w:sz w:val="24"/>
          <w:szCs w:val="24"/>
        </w:rPr>
        <w:t>W.hat</w:t>
      </w:r>
      <w:proofErr w:type="spellEnd"/>
      <w:r w:rsidRPr="00561FC0">
        <w:rPr>
          <w:rFonts w:ascii="Times New Roman" w:hAnsi="Times New Roman" w:cs="Times New Roman"/>
          <w:sz w:val="24"/>
          <w:szCs w:val="24"/>
        </w:rPr>
        <w:t>, this approach eliminates confounding effects (see Zhao</w:t>
      </w:r>
      <w:r w:rsidR="006079CD">
        <w:rPr>
          <w:rFonts w:ascii="Times New Roman" w:hAnsi="Times New Roman" w:cs="Times New Roman"/>
          <w:sz w:val="24"/>
          <w:szCs w:val="24"/>
        </w:rPr>
        <w:t xml:space="preserve"> </w:t>
      </w:r>
      <w:r w:rsidR="006079CD" w:rsidRPr="00561FC0">
        <w:rPr>
          <w:rFonts w:ascii="Times New Roman" w:hAnsi="Times New Roman" w:cs="Times New Roman"/>
          <w:i/>
          <w:iCs/>
          <w:sz w:val="24"/>
          <w:szCs w:val="24"/>
        </w:rPr>
        <w:t>et al</w:t>
      </w:r>
      <w:r w:rsidR="006079CD">
        <w:rPr>
          <w:rFonts w:ascii="Times New Roman" w:hAnsi="Times New Roman" w:cs="Times New Roman"/>
          <w:sz w:val="24"/>
          <w:szCs w:val="24"/>
        </w:rPr>
        <w:t xml:space="preserve">. </w:t>
      </w:r>
      <w:r w:rsidRPr="00561FC0">
        <w:rPr>
          <w:rFonts w:ascii="Times New Roman" w:hAnsi="Times New Roman" w:cs="Times New Roman"/>
          <w:sz w:val="24"/>
          <w:szCs w:val="24"/>
        </w:rPr>
        <w:t>(2017) for a further discussion).</w:t>
      </w:r>
    </w:p>
    <w:p w14:paraId="548952D2" w14:textId="3896AE2B" w:rsidR="00EE620E" w:rsidRPr="00561FC0" w:rsidRDefault="00FD3205" w:rsidP="00561FC0">
      <w:pPr>
        <w:spacing w:line="276" w:lineRule="auto"/>
        <w:jc w:val="both"/>
        <w:rPr>
          <w:lang w:val="en-GB"/>
        </w:rPr>
      </w:pPr>
      <w:r w:rsidRPr="00561FC0">
        <w:rPr>
          <w:rFonts w:ascii="Times New Roman" w:hAnsi="Times New Roman" w:cs="Times New Roman"/>
          <w:sz w:val="24"/>
          <w:szCs w:val="24"/>
        </w:rPr>
        <w:t xml:space="preserve">On the other hand, the second estimation procedure of the impact of subsidy schemes that relies on matching employs genetic matching, which uses a search algorithm to iteratively check and improve covariate balance (see </w:t>
      </w:r>
      <w:r w:rsidR="00895EF7">
        <w:rPr>
          <w:rFonts w:ascii="Times New Roman" w:hAnsi="Times New Roman" w:cs="Times New Roman"/>
          <w:sz w:val="24"/>
          <w:szCs w:val="24"/>
        </w:rPr>
        <w:t>appendices</w:t>
      </w:r>
      <w:r w:rsidRPr="00561FC0">
        <w:rPr>
          <w:rFonts w:ascii="Times New Roman" w:hAnsi="Times New Roman" w:cs="Times New Roman"/>
          <w:sz w:val="24"/>
          <w:szCs w:val="24"/>
        </w:rPr>
        <w:t xml:space="preserve"> for covariate balance pre and after matching), and it is a generalization of propensity score and </w:t>
      </w:r>
      <w:proofErr w:type="spellStart"/>
      <w:r w:rsidRPr="00561FC0">
        <w:rPr>
          <w:rFonts w:ascii="Times New Roman" w:hAnsi="Times New Roman" w:cs="Times New Roman"/>
          <w:sz w:val="24"/>
          <w:szCs w:val="24"/>
        </w:rPr>
        <w:t>Mahalanobis</w:t>
      </w:r>
      <w:proofErr w:type="spellEnd"/>
      <w:r w:rsidRPr="00561FC0">
        <w:rPr>
          <w:rFonts w:ascii="Times New Roman" w:hAnsi="Times New Roman" w:cs="Times New Roman"/>
          <w:sz w:val="24"/>
          <w:szCs w:val="24"/>
        </w:rPr>
        <w:t xml:space="preserve"> Distance (MD) matching (Rosenbaum and Rubin 1985). It is a multivariate matching method that uses an evolutionary search algorithm developed by </w:t>
      </w:r>
      <w:proofErr w:type="spellStart"/>
      <w:r w:rsidRPr="00561FC0">
        <w:rPr>
          <w:rFonts w:ascii="Times New Roman" w:hAnsi="Times New Roman" w:cs="Times New Roman"/>
          <w:sz w:val="24"/>
          <w:szCs w:val="24"/>
        </w:rPr>
        <w:t>Sekhon</w:t>
      </w:r>
      <w:proofErr w:type="spellEnd"/>
      <w:r w:rsidRPr="00561FC0">
        <w:rPr>
          <w:rFonts w:ascii="Times New Roman" w:hAnsi="Times New Roman" w:cs="Times New Roman"/>
          <w:sz w:val="24"/>
          <w:szCs w:val="24"/>
        </w:rPr>
        <w:t xml:space="preserve"> and Mebane </w:t>
      </w:r>
      <w:r w:rsidR="00E67E09">
        <w:rPr>
          <w:rFonts w:ascii="Times New Roman" w:hAnsi="Times New Roman" w:cs="Times New Roman"/>
          <w:sz w:val="24"/>
          <w:szCs w:val="24"/>
        </w:rPr>
        <w:t>(</w:t>
      </w:r>
      <w:r w:rsidRPr="00561FC0">
        <w:rPr>
          <w:rFonts w:ascii="Times New Roman" w:hAnsi="Times New Roman" w:cs="Times New Roman"/>
          <w:sz w:val="24"/>
          <w:szCs w:val="24"/>
        </w:rPr>
        <w:t xml:space="preserve">1998) to maximize the balance of observed covariates across matched treated and control units.” (Diamond and </w:t>
      </w:r>
      <w:proofErr w:type="spellStart"/>
      <w:r w:rsidRPr="00561FC0">
        <w:rPr>
          <w:rFonts w:ascii="Times New Roman" w:hAnsi="Times New Roman" w:cs="Times New Roman"/>
          <w:sz w:val="24"/>
          <w:szCs w:val="24"/>
        </w:rPr>
        <w:t>Sekhon</w:t>
      </w:r>
      <w:proofErr w:type="spellEnd"/>
      <w:r w:rsidRPr="00561FC0">
        <w:rPr>
          <w:rFonts w:ascii="Times New Roman" w:hAnsi="Times New Roman" w:cs="Times New Roman"/>
          <w:sz w:val="24"/>
          <w:szCs w:val="24"/>
        </w:rPr>
        <w:t xml:space="preserve"> 2013). Then, to assess subsidy impact on an outcome the average treatment effect (ATE) is calculated by regressing the treatment and covariates used during matching on the outcome of interest. </w:t>
      </w:r>
    </w:p>
    <w:p w14:paraId="4B0E55BD" w14:textId="0E6C557D" w:rsidR="001C38C8" w:rsidRDefault="00EE620E" w:rsidP="001C38C8">
      <w:pPr>
        <w:numPr>
          <w:ilvl w:val="0"/>
          <w:numId w:val="6"/>
        </w:numPr>
        <w:spacing w:before="120" w:after="120" w:line="276" w:lineRule="auto"/>
        <w:jc w:val="both"/>
        <w:outlineLvl w:val="0"/>
        <w:rPr>
          <w:rFonts w:ascii="Times New Roman" w:eastAsia="Times New Roman" w:hAnsi="Times New Roman" w:cs="Times New Roman"/>
          <w:b/>
          <w:bCs/>
          <w:kern w:val="36"/>
          <w:sz w:val="28"/>
          <w:szCs w:val="28"/>
          <w:lang w:val="en-GB"/>
        </w:rPr>
      </w:pPr>
      <w:r w:rsidRPr="00EE620E">
        <w:rPr>
          <w:rFonts w:ascii="Times New Roman" w:eastAsia="Times New Roman" w:hAnsi="Times New Roman" w:cs="Times New Roman"/>
          <w:b/>
          <w:bCs/>
          <w:kern w:val="36"/>
          <w:sz w:val="28"/>
          <w:szCs w:val="28"/>
          <w:lang w:val="en-GB"/>
        </w:rPr>
        <w:t>Empirical results</w:t>
      </w:r>
    </w:p>
    <w:p w14:paraId="405088EF" w14:textId="77777777" w:rsidR="00701AD4" w:rsidRDefault="00FD3205" w:rsidP="00EE620E">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FD3205">
        <w:rPr>
          <w:rFonts w:ascii="Times New Roman" w:eastAsia="Times New Roman" w:hAnsi="Times New Roman" w:cs="Times New Roman"/>
          <w:sz w:val="24"/>
          <w:szCs w:val="24"/>
          <w:lang w:val="en-GB"/>
        </w:rPr>
        <w:t xml:space="preserve">Table 2 presents the results of both estimations procedures. Even though, there are differences in the estimates generated by the two approaches, they both show results that are in the same direction. As can be seen the subsidy scheme in the greenhouse sector appear to have increased revenues for beneficiaries considerably compared to non-beneficiaries. Also, farm investment of those that have benefited from subsidy schemes are significantly higher than non-beneficiaries. On the other hand, subsidy schemes have not affected employment of hired </w:t>
      </w:r>
      <w:r w:rsidR="00993593" w:rsidRPr="00FD3205">
        <w:rPr>
          <w:rFonts w:ascii="Times New Roman" w:eastAsia="Times New Roman" w:hAnsi="Times New Roman" w:cs="Times New Roman"/>
          <w:sz w:val="24"/>
          <w:szCs w:val="24"/>
          <w:lang w:val="en-GB"/>
        </w:rPr>
        <w:t>labour</w:t>
      </w:r>
      <w:r w:rsidRPr="00FD3205">
        <w:rPr>
          <w:rFonts w:ascii="Times New Roman" w:eastAsia="Times New Roman" w:hAnsi="Times New Roman" w:cs="Times New Roman"/>
          <w:sz w:val="24"/>
          <w:szCs w:val="24"/>
          <w:lang w:val="en-GB"/>
        </w:rPr>
        <w:t xml:space="preserve"> in farms and farmers willingness to invest in the future. </w:t>
      </w:r>
    </w:p>
    <w:p w14:paraId="1F4E6578" w14:textId="77777777" w:rsidR="00701AD4" w:rsidRDefault="00701AD4" w:rsidP="00EE620E">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55194F85" w14:textId="77777777" w:rsidR="00701AD4" w:rsidRDefault="00701AD4" w:rsidP="00EE620E">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p>
    <w:p w14:paraId="7CF4DEC5" w14:textId="1D976C0F" w:rsidR="00EE620E" w:rsidRDefault="00EE620E" w:rsidP="00EE620E">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C7410A">
        <w:rPr>
          <w:rFonts w:ascii="Times New Roman" w:eastAsia="Times New Roman" w:hAnsi="Times New Roman" w:cs="Times New Roman"/>
          <w:sz w:val="24"/>
          <w:szCs w:val="24"/>
          <w:lang w:val="en-GB"/>
        </w:rPr>
        <w:t xml:space="preserve"> </w:t>
      </w:r>
    </w:p>
    <w:p w14:paraId="41DB8D08" w14:textId="77777777" w:rsidR="00993593" w:rsidRPr="00993593" w:rsidRDefault="00993593" w:rsidP="00993593">
      <w:pPr>
        <w:spacing w:line="360" w:lineRule="auto"/>
        <w:jc w:val="center"/>
        <w:rPr>
          <w:rFonts w:ascii="Times New Roman" w:eastAsia="Calibri" w:hAnsi="Times New Roman" w:cs="Times New Roman"/>
          <w:sz w:val="24"/>
          <w:szCs w:val="24"/>
        </w:rPr>
      </w:pPr>
      <w:r w:rsidRPr="00993593">
        <w:rPr>
          <w:rFonts w:ascii="Times New Roman" w:eastAsia="Calibri" w:hAnsi="Times New Roman" w:cs="Times New Roman"/>
          <w:b/>
          <w:bCs/>
          <w:sz w:val="24"/>
          <w:szCs w:val="24"/>
        </w:rPr>
        <w:lastRenderedPageBreak/>
        <w:t>Table 2</w:t>
      </w:r>
      <w:r w:rsidRPr="00993593">
        <w:rPr>
          <w:rFonts w:ascii="Times New Roman" w:eastAsia="Calibri" w:hAnsi="Times New Roman" w:cs="Times New Roman"/>
          <w:sz w:val="24"/>
          <w:szCs w:val="24"/>
        </w:rPr>
        <w:t xml:space="preserve">: </w:t>
      </w:r>
      <w:r w:rsidRPr="00561FC0">
        <w:rPr>
          <w:rFonts w:ascii="Times New Roman" w:eastAsia="Calibri" w:hAnsi="Times New Roman" w:cs="Times New Roman"/>
          <w:b/>
          <w:bCs/>
          <w:sz w:val="24"/>
          <w:szCs w:val="24"/>
        </w:rPr>
        <w:t>Estimation of the ATE with casual forest and genetic matching approach</w:t>
      </w:r>
    </w:p>
    <w:tbl>
      <w:tblPr>
        <w:tblStyle w:val="APAReport2"/>
        <w:tblW w:w="8928" w:type="dxa"/>
        <w:tblLook w:val="04A0" w:firstRow="1" w:lastRow="0" w:firstColumn="1" w:lastColumn="0" w:noHBand="0" w:noVBand="1"/>
      </w:tblPr>
      <w:tblGrid>
        <w:gridCol w:w="1944"/>
        <w:gridCol w:w="3492"/>
        <w:gridCol w:w="3492"/>
      </w:tblGrid>
      <w:tr w:rsidR="00330740" w:rsidRPr="00330740" w14:paraId="53BF6CD0" w14:textId="77777777" w:rsidTr="00561FC0">
        <w:trPr>
          <w:cnfStyle w:val="100000000000" w:firstRow="1" w:lastRow="0" w:firstColumn="0" w:lastColumn="0" w:oddVBand="0" w:evenVBand="0" w:oddHBand="0" w:evenHBand="0" w:firstRowFirstColumn="0" w:firstRowLastColumn="0" w:lastRowFirstColumn="0" w:lastRowLastColumn="0"/>
          <w:trHeight w:val="300"/>
        </w:trPr>
        <w:tc>
          <w:tcPr>
            <w:tcW w:w="0" w:type="dxa"/>
            <w:noWrap/>
            <w:hideMark/>
          </w:tcPr>
          <w:p w14:paraId="1EBE36FD" w14:textId="77777777" w:rsidR="00993593" w:rsidRPr="00561FC0" w:rsidRDefault="00993593" w:rsidP="00993593">
            <w:pPr>
              <w:rPr>
                <w:rFonts w:cs="Times New Roman"/>
                <w:kern w:val="24"/>
                <w:sz w:val="22"/>
                <w:szCs w:val="22"/>
              </w:rPr>
            </w:pPr>
          </w:p>
        </w:tc>
        <w:tc>
          <w:tcPr>
            <w:tcW w:w="2448" w:type="dxa"/>
            <w:noWrap/>
            <w:vAlign w:val="center"/>
            <w:hideMark/>
          </w:tcPr>
          <w:p w14:paraId="02503B8A" w14:textId="77777777" w:rsidR="00993593" w:rsidRPr="00561FC0" w:rsidRDefault="00993593" w:rsidP="00993593">
            <w:pPr>
              <w:jc w:val="center"/>
              <w:rPr>
                <w:rFonts w:cs="Times New Roman"/>
                <w:kern w:val="24"/>
                <w:sz w:val="22"/>
                <w:szCs w:val="22"/>
              </w:rPr>
            </w:pPr>
            <w:r w:rsidRPr="00330740">
              <w:rPr>
                <w:rFonts w:cs="Times New Roman"/>
                <w:kern w:val="24"/>
              </w:rPr>
              <w:t>Casual Forest</w:t>
            </w:r>
          </w:p>
          <w:p w14:paraId="5B08D660" w14:textId="77777777" w:rsidR="00993593" w:rsidRPr="00561FC0" w:rsidRDefault="00993593" w:rsidP="00993593">
            <w:pPr>
              <w:jc w:val="center"/>
              <w:rPr>
                <w:rFonts w:cs="Times New Roman"/>
                <w:kern w:val="24"/>
                <w:sz w:val="22"/>
                <w:szCs w:val="22"/>
              </w:rPr>
            </w:pPr>
            <w:r w:rsidRPr="00330740">
              <w:rPr>
                <w:rFonts w:cs="Times New Roman"/>
                <w:kern w:val="24"/>
              </w:rPr>
              <w:t>ATE &amp; 95% CI</w:t>
            </w:r>
          </w:p>
        </w:tc>
        <w:tc>
          <w:tcPr>
            <w:tcW w:w="2448" w:type="dxa"/>
            <w:noWrap/>
            <w:vAlign w:val="center"/>
            <w:hideMark/>
          </w:tcPr>
          <w:p w14:paraId="7D151862" w14:textId="77777777" w:rsidR="00993593" w:rsidRPr="00561FC0" w:rsidRDefault="00993593" w:rsidP="00993593">
            <w:pPr>
              <w:jc w:val="center"/>
              <w:rPr>
                <w:rFonts w:cs="Times New Roman"/>
                <w:kern w:val="24"/>
                <w:sz w:val="22"/>
                <w:szCs w:val="22"/>
              </w:rPr>
            </w:pPr>
            <w:r w:rsidRPr="00330740">
              <w:rPr>
                <w:rFonts w:cs="Times New Roman"/>
                <w:kern w:val="24"/>
              </w:rPr>
              <w:t>Genetic Matching</w:t>
            </w:r>
          </w:p>
          <w:p w14:paraId="2D5573F2" w14:textId="77777777" w:rsidR="00993593" w:rsidRPr="00561FC0" w:rsidRDefault="00993593" w:rsidP="00993593">
            <w:pPr>
              <w:jc w:val="center"/>
              <w:rPr>
                <w:rFonts w:cs="Times New Roman"/>
                <w:kern w:val="24"/>
                <w:sz w:val="22"/>
                <w:szCs w:val="22"/>
              </w:rPr>
            </w:pPr>
            <w:r w:rsidRPr="00330740">
              <w:rPr>
                <w:rFonts w:cs="Times New Roman"/>
                <w:kern w:val="24"/>
              </w:rPr>
              <w:t>ATE &amp; 95% CI</w:t>
            </w:r>
          </w:p>
        </w:tc>
      </w:tr>
      <w:tr w:rsidR="00330740" w:rsidRPr="00330740" w14:paraId="09B5E475" w14:textId="77777777" w:rsidTr="00561FC0">
        <w:trPr>
          <w:trHeight w:val="330"/>
        </w:trPr>
        <w:tc>
          <w:tcPr>
            <w:tcW w:w="0" w:type="dxa"/>
            <w:vAlign w:val="center"/>
            <w:hideMark/>
          </w:tcPr>
          <w:p w14:paraId="3CCA05C6" w14:textId="77777777" w:rsidR="00993593" w:rsidRPr="00561FC0" w:rsidRDefault="00993593" w:rsidP="00993593">
            <w:pPr>
              <w:rPr>
                <w:rFonts w:ascii="Times New Roman" w:hAnsi="Times New Roman" w:cs="Times New Roman"/>
                <w:kern w:val="24"/>
                <w:sz w:val="22"/>
                <w:szCs w:val="22"/>
              </w:rPr>
            </w:pPr>
            <w:r w:rsidRPr="00330740">
              <w:rPr>
                <w:rFonts w:ascii="Times New Roman" w:hAnsi="Times New Roman" w:cs="Times New Roman"/>
                <w:kern w:val="24"/>
              </w:rPr>
              <w:t>Revenues from the main 2 products (ALL)</w:t>
            </w:r>
          </w:p>
        </w:tc>
        <w:tc>
          <w:tcPr>
            <w:tcW w:w="2448" w:type="dxa"/>
            <w:noWrap/>
            <w:vAlign w:val="center"/>
            <w:hideMark/>
          </w:tcPr>
          <w:p w14:paraId="2D4C5D5D"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4,484,740 +/- 3,443,882</w:t>
            </w:r>
          </w:p>
        </w:tc>
        <w:tc>
          <w:tcPr>
            <w:tcW w:w="2448" w:type="dxa"/>
            <w:noWrap/>
            <w:vAlign w:val="center"/>
            <w:hideMark/>
          </w:tcPr>
          <w:p w14:paraId="65A689DB"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7,085,093 +/- 4,853,790</w:t>
            </w:r>
          </w:p>
        </w:tc>
      </w:tr>
      <w:tr w:rsidR="00330740" w:rsidRPr="00330740" w14:paraId="7D69E60B" w14:textId="77777777" w:rsidTr="00561FC0">
        <w:trPr>
          <w:trHeight w:val="330"/>
        </w:trPr>
        <w:tc>
          <w:tcPr>
            <w:tcW w:w="0" w:type="dxa"/>
            <w:vAlign w:val="center"/>
            <w:hideMark/>
          </w:tcPr>
          <w:p w14:paraId="3F0F674B" w14:textId="77777777" w:rsidR="00993593" w:rsidRPr="00561FC0" w:rsidRDefault="00993593" w:rsidP="00993593">
            <w:pPr>
              <w:rPr>
                <w:rFonts w:ascii="Times New Roman" w:hAnsi="Times New Roman" w:cs="Times New Roman"/>
                <w:kern w:val="24"/>
                <w:sz w:val="22"/>
                <w:szCs w:val="22"/>
              </w:rPr>
            </w:pPr>
            <w:r w:rsidRPr="00330740">
              <w:rPr>
                <w:rFonts w:ascii="Times New Roman" w:hAnsi="Times New Roman" w:cs="Times New Roman"/>
                <w:kern w:val="24"/>
              </w:rPr>
              <w:t>Total Greenhouse revenues (ALL)</w:t>
            </w:r>
          </w:p>
        </w:tc>
        <w:tc>
          <w:tcPr>
            <w:tcW w:w="2448" w:type="dxa"/>
            <w:noWrap/>
            <w:vAlign w:val="center"/>
            <w:hideMark/>
          </w:tcPr>
          <w:p w14:paraId="4CFA7100"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5,169,098 +/- 3,023,112</w:t>
            </w:r>
          </w:p>
        </w:tc>
        <w:tc>
          <w:tcPr>
            <w:tcW w:w="2448" w:type="dxa"/>
            <w:noWrap/>
            <w:vAlign w:val="center"/>
            <w:hideMark/>
          </w:tcPr>
          <w:p w14:paraId="3ECDF527"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8,985,871 +/- 3,760,532</w:t>
            </w:r>
          </w:p>
        </w:tc>
      </w:tr>
      <w:tr w:rsidR="00330740" w:rsidRPr="00330740" w14:paraId="2BC87213" w14:textId="77777777" w:rsidTr="00561FC0">
        <w:trPr>
          <w:trHeight w:val="330"/>
        </w:trPr>
        <w:tc>
          <w:tcPr>
            <w:tcW w:w="0" w:type="dxa"/>
            <w:vAlign w:val="center"/>
            <w:hideMark/>
          </w:tcPr>
          <w:p w14:paraId="5CDD87CC" w14:textId="77777777" w:rsidR="00993593" w:rsidRPr="00561FC0" w:rsidRDefault="00993593" w:rsidP="00993593">
            <w:pPr>
              <w:rPr>
                <w:rFonts w:ascii="Times New Roman" w:hAnsi="Times New Roman" w:cs="Times New Roman"/>
                <w:kern w:val="24"/>
                <w:sz w:val="22"/>
                <w:szCs w:val="22"/>
              </w:rPr>
            </w:pPr>
            <w:r w:rsidRPr="00330740">
              <w:rPr>
                <w:rFonts w:ascii="Times New Roman" w:hAnsi="Times New Roman" w:cs="Times New Roman"/>
                <w:kern w:val="24"/>
              </w:rPr>
              <w:t>Farm investment 2013-2018 (ALL)</w:t>
            </w:r>
          </w:p>
        </w:tc>
        <w:tc>
          <w:tcPr>
            <w:tcW w:w="2448" w:type="dxa"/>
            <w:noWrap/>
            <w:vAlign w:val="center"/>
            <w:hideMark/>
          </w:tcPr>
          <w:p w14:paraId="39AF8C87"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8,451,330 +/- 5,163,802</w:t>
            </w:r>
          </w:p>
        </w:tc>
        <w:tc>
          <w:tcPr>
            <w:tcW w:w="2448" w:type="dxa"/>
            <w:noWrap/>
            <w:vAlign w:val="center"/>
            <w:hideMark/>
          </w:tcPr>
          <w:p w14:paraId="1EAEF4B5"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6,124,315 +/- 6,008,942</w:t>
            </w:r>
          </w:p>
        </w:tc>
      </w:tr>
      <w:tr w:rsidR="00330740" w:rsidRPr="00330740" w14:paraId="614DF9AB" w14:textId="77777777" w:rsidTr="00561FC0">
        <w:trPr>
          <w:trHeight w:val="330"/>
        </w:trPr>
        <w:tc>
          <w:tcPr>
            <w:tcW w:w="0" w:type="dxa"/>
            <w:vAlign w:val="center"/>
            <w:hideMark/>
          </w:tcPr>
          <w:p w14:paraId="2FABA0BF" w14:textId="77777777" w:rsidR="00993593" w:rsidRPr="00561FC0" w:rsidRDefault="00993593" w:rsidP="00993593">
            <w:pPr>
              <w:rPr>
                <w:rFonts w:ascii="Times New Roman" w:hAnsi="Times New Roman" w:cs="Times New Roman"/>
                <w:kern w:val="24"/>
                <w:sz w:val="22"/>
                <w:szCs w:val="22"/>
              </w:rPr>
            </w:pPr>
            <w:r w:rsidRPr="00330740">
              <w:rPr>
                <w:rFonts w:ascii="Times New Roman" w:hAnsi="Times New Roman" w:cs="Times New Roman"/>
                <w:kern w:val="24"/>
              </w:rPr>
              <w:t>Plans to invest in the next 5 years (ALL)</w:t>
            </w:r>
          </w:p>
        </w:tc>
        <w:tc>
          <w:tcPr>
            <w:tcW w:w="2448" w:type="dxa"/>
            <w:noWrap/>
            <w:vAlign w:val="center"/>
            <w:hideMark/>
          </w:tcPr>
          <w:p w14:paraId="66427A5A"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4,355,507 +/- 5,498,310</w:t>
            </w:r>
          </w:p>
        </w:tc>
        <w:tc>
          <w:tcPr>
            <w:tcW w:w="2448" w:type="dxa"/>
            <w:noWrap/>
            <w:vAlign w:val="center"/>
            <w:hideMark/>
          </w:tcPr>
          <w:p w14:paraId="1F5CCD07"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7,528,749 +/- 5,783,458</w:t>
            </w:r>
          </w:p>
        </w:tc>
      </w:tr>
      <w:tr w:rsidR="00330740" w:rsidRPr="00330740" w14:paraId="004E66D6" w14:textId="77777777" w:rsidTr="00561FC0">
        <w:trPr>
          <w:trHeight w:val="330"/>
        </w:trPr>
        <w:tc>
          <w:tcPr>
            <w:tcW w:w="0" w:type="dxa"/>
            <w:vAlign w:val="center"/>
            <w:hideMark/>
          </w:tcPr>
          <w:p w14:paraId="112C7632" w14:textId="77777777" w:rsidR="00993593" w:rsidRPr="00561FC0" w:rsidRDefault="00993593" w:rsidP="00993593">
            <w:pPr>
              <w:rPr>
                <w:rFonts w:ascii="Times New Roman" w:hAnsi="Times New Roman" w:cs="Times New Roman"/>
                <w:kern w:val="24"/>
                <w:sz w:val="22"/>
                <w:szCs w:val="22"/>
              </w:rPr>
            </w:pPr>
            <w:r w:rsidRPr="00330740">
              <w:rPr>
                <w:rFonts w:ascii="Times New Roman" w:hAnsi="Times New Roman" w:cs="Times New Roman"/>
                <w:kern w:val="24"/>
              </w:rPr>
              <w:t>No Hired workers</w:t>
            </w:r>
          </w:p>
        </w:tc>
        <w:tc>
          <w:tcPr>
            <w:tcW w:w="2448" w:type="dxa"/>
            <w:noWrap/>
            <w:vAlign w:val="center"/>
            <w:hideMark/>
          </w:tcPr>
          <w:p w14:paraId="71BF2105"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0.592 +/- 0.672</w:t>
            </w:r>
          </w:p>
        </w:tc>
        <w:tc>
          <w:tcPr>
            <w:tcW w:w="2448" w:type="dxa"/>
            <w:noWrap/>
            <w:vAlign w:val="center"/>
            <w:hideMark/>
          </w:tcPr>
          <w:p w14:paraId="4C62BA3F"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0.664 +/- 0.78</w:t>
            </w:r>
          </w:p>
        </w:tc>
      </w:tr>
      <w:tr w:rsidR="00330740" w:rsidRPr="00330740" w14:paraId="66FBB851" w14:textId="77777777" w:rsidTr="00561FC0">
        <w:trPr>
          <w:trHeight w:val="330"/>
        </w:trPr>
        <w:tc>
          <w:tcPr>
            <w:tcW w:w="0" w:type="dxa"/>
            <w:vAlign w:val="center"/>
            <w:hideMark/>
          </w:tcPr>
          <w:p w14:paraId="647B1896" w14:textId="77777777" w:rsidR="00993593" w:rsidRPr="00561FC0" w:rsidRDefault="00993593" w:rsidP="00993593">
            <w:pPr>
              <w:rPr>
                <w:rFonts w:ascii="Times New Roman" w:hAnsi="Times New Roman" w:cs="Times New Roman"/>
                <w:kern w:val="24"/>
                <w:sz w:val="22"/>
                <w:szCs w:val="22"/>
              </w:rPr>
            </w:pPr>
            <w:r w:rsidRPr="00330740">
              <w:rPr>
                <w:rFonts w:ascii="Times New Roman" w:hAnsi="Times New Roman" w:cs="Times New Roman"/>
                <w:kern w:val="24"/>
              </w:rPr>
              <w:t>Greenhouse area (</w:t>
            </w:r>
            <w:proofErr w:type="spellStart"/>
            <w:r w:rsidRPr="00330740">
              <w:rPr>
                <w:rFonts w:ascii="Times New Roman" w:hAnsi="Times New Roman" w:cs="Times New Roman"/>
                <w:kern w:val="24"/>
              </w:rPr>
              <w:t>dynym</w:t>
            </w:r>
            <w:proofErr w:type="spellEnd"/>
            <w:r w:rsidRPr="00330740">
              <w:rPr>
                <w:rFonts w:ascii="Times New Roman" w:hAnsi="Times New Roman" w:cs="Times New Roman"/>
                <w:kern w:val="24"/>
              </w:rPr>
              <w:t>)</w:t>
            </w:r>
          </w:p>
        </w:tc>
        <w:tc>
          <w:tcPr>
            <w:tcW w:w="2448" w:type="dxa"/>
            <w:noWrap/>
            <w:vAlign w:val="center"/>
            <w:hideMark/>
          </w:tcPr>
          <w:p w14:paraId="616B10FA"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1.734 +/- 1.052</w:t>
            </w:r>
          </w:p>
        </w:tc>
        <w:tc>
          <w:tcPr>
            <w:tcW w:w="2448" w:type="dxa"/>
            <w:noWrap/>
            <w:vAlign w:val="center"/>
            <w:hideMark/>
          </w:tcPr>
          <w:p w14:paraId="63773989" w14:textId="77777777" w:rsidR="00993593" w:rsidRPr="00561FC0" w:rsidRDefault="00993593" w:rsidP="00993593">
            <w:pPr>
              <w:jc w:val="center"/>
              <w:rPr>
                <w:rFonts w:ascii="Times New Roman" w:hAnsi="Times New Roman" w:cs="Times New Roman"/>
                <w:kern w:val="24"/>
                <w:sz w:val="22"/>
                <w:szCs w:val="22"/>
              </w:rPr>
            </w:pPr>
            <w:r w:rsidRPr="00330740">
              <w:rPr>
                <w:rFonts w:ascii="Times New Roman" w:hAnsi="Times New Roman" w:cs="Times New Roman"/>
                <w:kern w:val="24"/>
              </w:rPr>
              <w:t>0.835 +/- 0.77</w:t>
            </w:r>
          </w:p>
        </w:tc>
      </w:tr>
    </w:tbl>
    <w:p w14:paraId="0FE24A45" w14:textId="77777777" w:rsidR="00993593" w:rsidRPr="00993593" w:rsidRDefault="00993593" w:rsidP="00993593">
      <w:pPr>
        <w:spacing w:after="0" w:line="240" w:lineRule="auto"/>
        <w:jc w:val="both"/>
        <w:rPr>
          <w:rFonts w:ascii="Times New Roman" w:eastAsia="SimSun" w:hAnsi="Times New Roman" w:cs="Times New Roman"/>
          <w:kern w:val="24"/>
          <w:sz w:val="20"/>
          <w:szCs w:val="20"/>
          <w:lang w:eastAsia="ja-JP"/>
        </w:rPr>
      </w:pPr>
      <w:r w:rsidRPr="00993593">
        <w:rPr>
          <w:rFonts w:ascii="Times New Roman" w:eastAsia="SimSun" w:hAnsi="Times New Roman" w:cs="Times New Roman"/>
          <w:kern w:val="24"/>
          <w:sz w:val="24"/>
          <w:szCs w:val="24"/>
          <w:lang w:eastAsia="ja-JP"/>
        </w:rPr>
        <w:t xml:space="preserve"> </w:t>
      </w:r>
      <w:r w:rsidRPr="00993593">
        <w:rPr>
          <w:rFonts w:ascii="Times New Roman" w:eastAsia="SimSun" w:hAnsi="Times New Roman" w:cs="Times New Roman"/>
          <w:kern w:val="24"/>
          <w:sz w:val="20"/>
          <w:szCs w:val="20"/>
          <w:lang w:eastAsia="ja-JP"/>
        </w:rPr>
        <w:t xml:space="preserve">Note: </w:t>
      </w:r>
      <w:proofErr w:type="spellStart"/>
      <w:r w:rsidRPr="00993593">
        <w:rPr>
          <w:rFonts w:ascii="Times New Roman" w:eastAsia="SimSun" w:hAnsi="Times New Roman" w:cs="Times New Roman"/>
          <w:kern w:val="24"/>
          <w:sz w:val="20"/>
          <w:szCs w:val="20"/>
          <w:lang w:eastAsia="ja-JP"/>
        </w:rPr>
        <w:t>dynym</w:t>
      </w:r>
      <w:proofErr w:type="spellEnd"/>
      <w:r w:rsidRPr="00993593">
        <w:rPr>
          <w:rFonts w:ascii="Times New Roman" w:eastAsia="SimSun" w:hAnsi="Times New Roman" w:cs="Times New Roman"/>
          <w:kern w:val="24"/>
          <w:sz w:val="20"/>
          <w:szCs w:val="20"/>
          <w:lang w:eastAsia="ja-JP"/>
        </w:rPr>
        <w:t xml:space="preserve"> is 0.1 Ha; Albanian Lek (old format – has one more zero) – 1 ALL ~ 0.000816 (exchange rate 18/7/2021)</w:t>
      </w:r>
    </w:p>
    <w:p w14:paraId="3096D633" w14:textId="77777777" w:rsidR="00EE620E" w:rsidRPr="00561FC0" w:rsidRDefault="00EE620E" w:rsidP="00561FC0">
      <w:pPr>
        <w:rPr>
          <w:lang w:val="en-GB"/>
        </w:rPr>
      </w:pPr>
    </w:p>
    <w:p w14:paraId="3BB85FA8" w14:textId="414ED4C0" w:rsidR="001C38C8" w:rsidRDefault="00EE620E" w:rsidP="001C38C8">
      <w:pPr>
        <w:numPr>
          <w:ilvl w:val="0"/>
          <w:numId w:val="6"/>
        </w:numPr>
        <w:spacing w:before="120" w:after="120" w:line="276" w:lineRule="auto"/>
        <w:jc w:val="both"/>
        <w:outlineLvl w:val="0"/>
        <w:rPr>
          <w:rFonts w:ascii="Times New Roman" w:eastAsia="Times New Roman" w:hAnsi="Times New Roman" w:cs="Times New Roman"/>
          <w:b/>
          <w:bCs/>
          <w:kern w:val="36"/>
          <w:sz w:val="28"/>
          <w:szCs w:val="28"/>
          <w:lang w:val="en-GB"/>
        </w:rPr>
      </w:pPr>
      <w:r w:rsidRPr="00EE620E">
        <w:rPr>
          <w:rFonts w:ascii="Times New Roman" w:eastAsia="Times New Roman" w:hAnsi="Times New Roman" w:cs="Times New Roman"/>
          <w:b/>
          <w:bCs/>
          <w:kern w:val="36"/>
          <w:sz w:val="28"/>
          <w:szCs w:val="28"/>
          <w:lang w:val="en-GB"/>
        </w:rPr>
        <w:t>Discussion and conclusion</w:t>
      </w:r>
    </w:p>
    <w:p w14:paraId="705CBC76" w14:textId="116B5C98" w:rsidR="009A1DFD" w:rsidRPr="009A1DFD" w:rsidRDefault="009A1DFD" w:rsidP="009A1DFD">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9A1DFD">
        <w:rPr>
          <w:rFonts w:ascii="Times New Roman" w:eastAsia="Times New Roman" w:hAnsi="Times New Roman" w:cs="Times New Roman"/>
          <w:sz w:val="24"/>
          <w:szCs w:val="24"/>
          <w:lang w:val="en-GB"/>
        </w:rPr>
        <w:t xml:space="preserve">This paper assessed the impact of governmental budgetary support on </w:t>
      </w:r>
      <w:r w:rsidR="00330740">
        <w:rPr>
          <w:rFonts w:ascii="Times New Roman" w:eastAsia="Times New Roman" w:hAnsi="Times New Roman" w:cs="Times New Roman"/>
          <w:sz w:val="24"/>
          <w:szCs w:val="24"/>
          <w:lang w:val="en-GB"/>
        </w:rPr>
        <w:t>greenhouse</w:t>
      </w:r>
      <w:r w:rsidRPr="009A1DFD">
        <w:rPr>
          <w:rFonts w:ascii="Times New Roman" w:eastAsia="Times New Roman" w:hAnsi="Times New Roman" w:cs="Times New Roman"/>
          <w:sz w:val="24"/>
          <w:szCs w:val="24"/>
          <w:lang w:val="en-GB"/>
        </w:rPr>
        <w:t xml:space="preserve"> farms productive factors such as </w:t>
      </w:r>
      <w:r w:rsidR="00330740" w:rsidRPr="009A1DFD">
        <w:rPr>
          <w:rFonts w:ascii="Times New Roman" w:eastAsia="Times New Roman" w:hAnsi="Times New Roman" w:cs="Times New Roman"/>
          <w:sz w:val="24"/>
          <w:szCs w:val="24"/>
          <w:lang w:val="en-GB"/>
        </w:rPr>
        <w:t>labour</w:t>
      </w:r>
      <w:r w:rsidRPr="009A1DFD">
        <w:rPr>
          <w:rFonts w:ascii="Times New Roman" w:eastAsia="Times New Roman" w:hAnsi="Times New Roman" w:cs="Times New Roman"/>
          <w:sz w:val="24"/>
          <w:szCs w:val="24"/>
          <w:lang w:val="en-GB"/>
        </w:rPr>
        <w:t xml:space="preserve"> and investments, and farm revenues. The impact is assessed using two approaches:  causal forests which is an adaptation of the random forest algorithm of </w:t>
      </w:r>
      <w:proofErr w:type="spellStart"/>
      <w:r w:rsidRPr="009A1DFD">
        <w:rPr>
          <w:rFonts w:ascii="Times New Roman" w:eastAsia="Times New Roman" w:hAnsi="Times New Roman" w:cs="Times New Roman"/>
          <w:sz w:val="24"/>
          <w:szCs w:val="24"/>
          <w:lang w:val="en-GB"/>
        </w:rPr>
        <w:t>Breiman</w:t>
      </w:r>
      <w:proofErr w:type="spellEnd"/>
      <w:r w:rsidRPr="009A1DFD">
        <w:rPr>
          <w:rFonts w:ascii="Times New Roman" w:eastAsia="Times New Roman" w:hAnsi="Times New Roman" w:cs="Times New Roman"/>
          <w:sz w:val="24"/>
          <w:szCs w:val="24"/>
          <w:lang w:val="en-GB"/>
        </w:rPr>
        <w:t xml:space="preserve"> to the problem treatment effect estimation and a matching on observables. </w:t>
      </w:r>
    </w:p>
    <w:p w14:paraId="3AC8A484" w14:textId="4150F29D" w:rsidR="00430577" w:rsidRDefault="009A1DFD" w:rsidP="009A1DFD">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9A1DFD">
        <w:rPr>
          <w:rFonts w:ascii="Times New Roman" w:eastAsia="Times New Roman" w:hAnsi="Times New Roman" w:cs="Times New Roman"/>
          <w:sz w:val="24"/>
          <w:szCs w:val="24"/>
          <w:lang w:val="en-GB"/>
        </w:rPr>
        <w:t xml:space="preserve">The findings show </w:t>
      </w:r>
      <w:r w:rsidR="000B7DDF">
        <w:rPr>
          <w:rFonts w:ascii="Times New Roman" w:eastAsia="Times New Roman" w:hAnsi="Times New Roman" w:cs="Times New Roman"/>
          <w:sz w:val="24"/>
          <w:szCs w:val="24"/>
          <w:lang w:val="en-GB"/>
        </w:rPr>
        <w:t>no</w:t>
      </w:r>
      <w:r w:rsidRPr="009A1DFD">
        <w:rPr>
          <w:rFonts w:ascii="Times New Roman" w:eastAsia="Times New Roman" w:hAnsi="Times New Roman" w:cs="Times New Roman"/>
          <w:sz w:val="24"/>
          <w:szCs w:val="24"/>
          <w:lang w:val="en-GB"/>
        </w:rPr>
        <w:t xml:space="preserve"> impact of NSS on farm external employment/hiring</w:t>
      </w:r>
      <w:r w:rsidR="00430577">
        <w:rPr>
          <w:rFonts w:ascii="Times New Roman" w:eastAsia="Times New Roman" w:hAnsi="Times New Roman" w:cs="Times New Roman"/>
          <w:sz w:val="24"/>
          <w:szCs w:val="24"/>
          <w:lang w:val="en-GB"/>
        </w:rPr>
        <w:t>.</w:t>
      </w:r>
      <w:r w:rsidRPr="009A1DFD">
        <w:rPr>
          <w:rFonts w:ascii="Times New Roman" w:eastAsia="Times New Roman" w:hAnsi="Times New Roman" w:cs="Times New Roman"/>
          <w:sz w:val="24"/>
          <w:szCs w:val="24"/>
          <w:lang w:val="en-GB"/>
        </w:rPr>
        <w:t xml:space="preserve"> </w:t>
      </w:r>
      <w:r w:rsidR="00430577">
        <w:rPr>
          <w:rFonts w:ascii="Times New Roman" w:eastAsia="Times New Roman" w:hAnsi="Times New Roman" w:cs="Times New Roman"/>
          <w:sz w:val="24"/>
          <w:szCs w:val="24"/>
          <w:lang w:val="en-GB"/>
        </w:rPr>
        <w:t>While</w:t>
      </w:r>
      <w:r w:rsidRPr="009A1DFD">
        <w:rPr>
          <w:rFonts w:ascii="Times New Roman" w:eastAsia="Times New Roman" w:hAnsi="Times New Roman" w:cs="Times New Roman"/>
          <w:sz w:val="24"/>
          <w:szCs w:val="24"/>
          <w:lang w:val="en-GB"/>
        </w:rPr>
        <w:t>, Albanian farms/rural households, typically</w:t>
      </w:r>
      <w:r w:rsidR="00430577">
        <w:rPr>
          <w:rFonts w:ascii="Times New Roman" w:eastAsia="Times New Roman" w:hAnsi="Times New Roman" w:cs="Times New Roman"/>
          <w:sz w:val="24"/>
          <w:szCs w:val="24"/>
          <w:lang w:val="en-GB"/>
        </w:rPr>
        <w:t xml:space="preserve"> used to</w:t>
      </w:r>
      <w:r w:rsidRPr="009A1DFD">
        <w:rPr>
          <w:rFonts w:ascii="Times New Roman" w:eastAsia="Times New Roman" w:hAnsi="Times New Roman" w:cs="Times New Roman"/>
          <w:sz w:val="24"/>
          <w:szCs w:val="24"/>
          <w:lang w:val="en-GB"/>
        </w:rPr>
        <w:t xml:space="preserve"> suffer from underemployment,</w:t>
      </w:r>
      <w:r w:rsidR="00430577">
        <w:rPr>
          <w:rFonts w:ascii="Times New Roman" w:eastAsia="Times New Roman" w:hAnsi="Times New Roman" w:cs="Times New Roman"/>
          <w:sz w:val="24"/>
          <w:szCs w:val="24"/>
          <w:lang w:val="en-GB"/>
        </w:rPr>
        <w:t xml:space="preserve"> this is not the case nowadays where due to emigration finding labour force in rural areas have become increasingly difficult. Thus, </w:t>
      </w:r>
      <w:r w:rsidR="00B7649C">
        <w:rPr>
          <w:rFonts w:ascii="Times New Roman" w:eastAsia="Times New Roman" w:hAnsi="Times New Roman" w:cs="Times New Roman"/>
          <w:sz w:val="24"/>
          <w:szCs w:val="24"/>
          <w:lang w:val="en-GB"/>
        </w:rPr>
        <w:t>any intervention under such conditions has limited impact on increasing hired labour (i.e., there almost no free labour in rural areas)</w:t>
      </w:r>
    </w:p>
    <w:p w14:paraId="76B0D486" w14:textId="3195217C" w:rsidR="009A1DFD" w:rsidRPr="009A1DFD" w:rsidRDefault="009A1DFD" w:rsidP="009A1DFD">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9A1DFD">
        <w:rPr>
          <w:rFonts w:ascii="Times New Roman" w:eastAsia="Times New Roman" w:hAnsi="Times New Roman" w:cs="Times New Roman"/>
          <w:sz w:val="24"/>
          <w:szCs w:val="24"/>
          <w:lang w:val="en-GB"/>
        </w:rPr>
        <w:t>NSS has positive impact on</w:t>
      </w:r>
      <w:r w:rsidR="00B7649C">
        <w:rPr>
          <w:rFonts w:ascii="Times New Roman" w:eastAsia="Times New Roman" w:hAnsi="Times New Roman" w:cs="Times New Roman"/>
          <w:sz w:val="24"/>
          <w:szCs w:val="24"/>
          <w:lang w:val="en-GB"/>
        </w:rPr>
        <w:t xml:space="preserve"> greenhouse area</w:t>
      </w:r>
      <w:r w:rsidRPr="009A1DFD">
        <w:rPr>
          <w:rFonts w:ascii="Times New Roman" w:eastAsia="Times New Roman" w:hAnsi="Times New Roman" w:cs="Times New Roman"/>
          <w:sz w:val="24"/>
          <w:szCs w:val="24"/>
          <w:lang w:val="en-GB"/>
        </w:rPr>
        <w:t>,</w:t>
      </w:r>
      <w:r w:rsidR="00B7649C">
        <w:rPr>
          <w:rFonts w:ascii="Times New Roman" w:eastAsia="Times New Roman" w:hAnsi="Times New Roman" w:cs="Times New Roman"/>
          <w:sz w:val="24"/>
          <w:szCs w:val="24"/>
          <w:lang w:val="en-GB"/>
        </w:rPr>
        <w:t xml:space="preserve"> farm </w:t>
      </w:r>
      <w:r w:rsidR="006C3356">
        <w:rPr>
          <w:rFonts w:ascii="Times New Roman" w:eastAsia="Times New Roman" w:hAnsi="Times New Roman" w:cs="Times New Roman"/>
          <w:sz w:val="24"/>
          <w:szCs w:val="24"/>
          <w:lang w:val="en-GB"/>
        </w:rPr>
        <w:t>investment</w:t>
      </w:r>
      <w:r w:rsidRPr="009A1DFD">
        <w:rPr>
          <w:rFonts w:ascii="Times New Roman" w:eastAsia="Times New Roman" w:hAnsi="Times New Roman" w:cs="Times New Roman"/>
          <w:sz w:val="24"/>
          <w:szCs w:val="24"/>
          <w:lang w:val="en-GB"/>
        </w:rPr>
        <w:t xml:space="preserve"> and farm revenues. Indeed, subsidies implies higher income and enable increase </w:t>
      </w:r>
      <w:r w:rsidR="00B7649C">
        <w:rPr>
          <w:rFonts w:ascii="Times New Roman" w:eastAsia="Times New Roman" w:hAnsi="Times New Roman" w:cs="Times New Roman"/>
          <w:sz w:val="24"/>
          <w:szCs w:val="24"/>
          <w:lang w:val="en-GB"/>
        </w:rPr>
        <w:t>greenhouse size</w:t>
      </w:r>
      <w:r w:rsidRPr="009A1DFD">
        <w:rPr>
          <w:rFonts w:ascii="Times New Roman" w:eastAsia="Times New Roman" w:hAnsi="Times New Roman" w:cs="Times New Roman"/>
          <w:sz w:val="24"/>
          <w:szCs w:val="24"/>
          <w:lang w:val="en-GB"/>
        </w:rPr>
        <w:t xml:space="preserve"> (since on one hand, the farmer has more financial resources to invest in </w:t>
      </w:r>
      <w:r w:rsidR="00B7649C">
        <w:rPr>
          <w:rFonts w:ascii="Times New Roman" w:eastAsia="Times New Roman" w:hAnsi="Times New Roman" w:cs="Times New Roman"/>
          <w:sz w:val="24"/>
          <w:szCs w:val="24"/>
          <w:lang w:val="en-GB"/>
        </w:rPr>
        <w:t>expanding greenhouse area</w:t>
      </w:r>
      <w:r w:rsidRPr="009A1DFD">
        <w:rPr>
          <w:rFonts w:ascii="Times New Roman" w:eastAsia="Times New Roman" w:hAnsi="Times New Roman" w:cs="Times New Roman"/>
          <w:sz w:val="24"/>
          <w:szCs w:val="24"/>
          <w:lang w:val="en-GB"/>
        </w:rPr>
        <w:t xml:space="preserve">, and on the other hand, has one more incentive, since subsidies are provided </w:t>
      </w:r>
      <w:r w:rsidR="00B7649C">
        <w:rPr>
          <w:rFonts w:ascii="Times New Roman" w:eastAsia="Times New Roman" w:hAnsi="Times New Roman" w:cs="Times New Roman"/>
          <w:sz w:val="24"/>
          <w:szCs w:val="24"/>
          <w:lang w:val="en-GB"/>
        </w:rPr>
        <w:t>to</w:t>
      </w:r>
      <w:r w:rsidR="006C3356">
        <w:rPr>
          <w:rFonts w:ascii="Times New Roman" w:eastAsia="Times New Roman" w:hAnsi="Times New Roman" w:cs="Times New Roman"/>
          <w:sz w:val="24"/>
          <w:szCs w:val="24"/>
          <w:lang w:val="en-GB"/>
        </w:rPr>
        <w:t xml:space="preserve"> change the greenhouse plastic</w:t>
      </w:r>
      <w:r w:rsidR="00B7649C">
        <w:rPr>
          <w:rFonts w:ascii="Times New Roman" w:eastAsia="Times New Roman" w:hAnsi="Times New Roman" w:cs="Times New Roman"/>
          <w:sz w:val="24"/>
          <w:szCs w:val="24"/>
          <w:lang w:val="en-GB"/>
        </w:rPr>
        <w:t xml:space="preserve"> cover</w:t>
      </w:r>
      <w:r w:rsidRPr="009A1DFD">
        <w:rPr>
          <w:rFonts w:ascii="Times New Roman" w:eastAsia="Times New Roman" w:hAnsi="Times New Roman" w:cs="Times New Roman"/>
          <w:sz w:val="24"/>
          <w:szCs w:val="24"/>
          <w:lang w:val="en-GB"/>
        </w:rPr>
        <w:t xml:space="preserve">). No impact on </w:t>
      </w:r>
      <w:r w:rsidR="006C3356">
        <w:rPr>
          <w:rFonts w:ascii="Times New Roman" w:eastAsia="Times New Roman" w:hAnsi="Times New Roman" w:cs="Times New Roman"/>
          <w:sz w:val="24"/>
          <w:szCs w:val="24"/>
          <w:lang w:val="en-GB"/>
        </w:rPr>
        <w:t xml:space="preserve">plans to invest in future </w:t>
      </w:r>
      <w:r w:rsidRPr="009A1DFD">
        <w:rPr>
          <w:rFonts w:ascii="Times New Roman" w:eastAsia="Times New Roman" w:hAnsi="Times New Roman" w:cs="Times New Roman"/>
          <w:sz w:val="24"/>
          <w:szCs w:val="24"/>
          <w:lang w:val="en-GB"/>
        </w:rPr>
        <w:t>was observed.</w:t>
      </w:r>
      <w:r w:rsidR="00F24CE7">
        <w:rPr>
          <w:rFonts w:ascii="Times New Roman" w:eastAsia="Times New Roman" w:hAnsi="Times New Roman" w:cs="Times New Roman"/>
          <w:sz w:val="24"/>
          <w:szCs w:val="24"/>
          <w:lang w:val="en-GB"/>
        </w:rPr>
        <w:t xml:space="preserve"> </w:t>
      </w:r>
      <w:r w:rsidRPr="009A1DFD">
        <w:rPr>
          <w:rFonts w:ascii="Times New Roman" w:eastAsia="Times New Roman" w:hAnsi="Times New Roman" w:cs="Times New Roman"/>
          <w:sz w:val="24"/>
          <w:szCs w:val="24"/>
          <w:lang w:val="en-GB"/>
        </w:rPr>
        <w:t xml:space="preserve">The current study results converge with Skreli </w:t>
      </w:r>
      <w:r w:rsidRPr="00561FC0">
        <w:rPr>
          <w:rFonts w:ascii="Times New Roman" w:eastAsia="Times New Roman" w:hAnsi="Times New Roman" w:cs="Times New Roman"/>
          <w:i/>
          <w:iCs/>
          <w:sz w:val="24"/>
          <w:szCs w:val="24"/>
          <w:lang w:val="en-GB"/>
        </w:rPr>
        <w:t>at al</w:t>
      </w:r>
      <w:r w:rsidRPr="009A1DFD">
        <w:rPr>
          <w:rFonts w:ascii="Times New Roman" w:eastAsia="Times New Roman" w:hAnsi="Times New Roman" w:cs="Times New Roman"/>
          <w:sz w:val="24"/>
          <w:szCs w:val="24"/>
          <w:lang w:val="en-GB"/>
        </w:rPr>
        <w:t xml:space="preserve">. (2015) and </w:t>
      </w:r>
      <w:proofErr w:type="spellStart"/>
      <w:r w:rsidRPr="009A1DFD">
        <w:rPr>
          <w:rFonts w:ascii="Times New Roman" w:eastAsia="Times New Roman" w:hAnsi="Times New Roman" w:cs="Times New Roman"/>
          <w:sz w:val="24"/>
          <w:szCs w:val="24"/>
          <w:lang w:val="en-GB"/>
        </w:rPr>
        <w:t>Gecaj</w:t>
      </w:r>
      <w:proofErr w:type="spellEnd"/>
      <w:r w:rsidRPr="009A1DFD">
        <w:rPr>
          <w:rFonts w:ascii="Times New Roman" w:eastAsia="Times New Roman" w:hAnsi="Times New Roman" w:cs="Times New Roman"/>
          <w:sz w:val="24"/>
          <w:szCs w:val="24"/>
          <w:lang w:val="en-GB"/>
        </w:rPr>
        <w:t xml:space="preserve"> </w:t>
      </w:r>
      <w:r w:rsidRPr="00561FC0">
        <w:rPr>
          <w:rFonts w:ascii="Times New Roman" w:eastAsia="Times New Roman" w:hAnsi="Times New Roman" w:cs="Times New Roman"/>
          <w:i/>
          <w:iCs/>
          <w:sz w:val="24"/>
          <w:szCs w:val="24"/>
          <w:lang w:val="en-GB"/>
        </w:rPr>
        <w:t>et al</w:t>
      </w:r>
      <w:r w:rsidR="00E67E09">
        <w:rPr>
          <w:rFonts w:ascii="Times New Roman" w:eastAsia="Times New Roman" w:hAnsi="Times New Roman" w:cs="Times New Roman"/>
          <w:sz w:val="24"/>
          <w:szCs w:val="24"/>
          <w:lang w:val="en-GB"/>
        </w:rPr>
        <w:t>.</w:t>
      </w:r>
      <w:r w:rsidRPr="009A1DFD">
        <w:rPr>
          <w:rFonts w:ascii="Times New Roman" w:eastAsia="Times New Roman" w:hAnsi="Times New Roman" w:cs="Times New Roman"/>
          <w:sz w:val="24"/>
          <w:szCs w:val="24"/>
          <w:lang w:val="en-GB"/>
        </w:rPr>
        <w:t xml:space="preserve"> (20</w:t>
      </w:r>
      <w:r w:rsidR="00E67E09">
        <w:rPr>
          <w:rFonts w:ascii="Times New Roman" w:eastAsia="Times New Roman" w:hAnsi="Times New Roman" w:cs="Times New Roman"/>
          <w:sz w:val="24"/>
          <w:szCs w:val="24"/>
          <w:lang w:val="en-GB"/>
        </w:rPr>
        <w:t>19</w:t>
      </w:r>
      <w:r w:rsidRPr="009A1DFD">
        <w:rPr>
          <w:rFonts w:ascii="Times New Roman" w:eastAsia="Times New Roman" w:hAnsi="Times New Roman" w:cs="Times New Roman"/>
          <w:sz w:val="24"/>
          <w:szCs w:val="24"/>
          <w:lang w:val="en-GB"/>
        </w:rPr>
        <w:t>) in terms of positive impact of government support on production capacities (e.g.</w:t>
      </w:r>
      <w:r w:rsidR="00E67E09">
        <w:rPr>
          <w:rFonts w:ascii="Times New Roman" w:eastAsia="Times New Roman" w:hAnsi="Times New Roman" w:cs="Times New Roman"/>
          <w:sz w:val="24"/>
          <w:szCs w:val="24"/>
          <w:lang w:val="en-GB"/>
        </w:rPr>
        <w:t>,</w:t>
      </w:r>
      <w:r w:rsidRPr="009A1DFD">
        <w:rPr>
          <w:rFonts w:ascii="Times New Roman" w:eastAsia="Times New Roman" w:hAnsi="Times New Roman" w:cs="Times New Roman"/>
          <w:sz w:val="24"/>
          <w:szCs w:val="24"/>
          <w:lang w:val="en-GB"/>
        </w:rPr>
        <w:t xml:space="preserve"> planted area in the case of horticulture sector) and no impact on </w:t>
      </w:r>
      <w:r w:rsidR="006C3356">
        <w:rPr>
          <w:rFonts w:ascii="Times New Roman" w:eastAsia="Times New Roman" w:hAnsi="Times New Roman" w:cs="Times New Roman"/>
          <w:sz w:val="24"/>
          <w:szCs w:val="24"/>
          <w:lang w:val="en-GB"/>
        </w:rPr>
        <w:t>labour</w:t>
      </w:r>
      <w:r w:rsidRPr="009A1DFD">
        <w:rPr>
          <w:rFonts w:ascii="Times New Roman" w:eastAsia="Times New Roman" w:hAnsi="Times New Roman" w:cs="Times New Roman"/>
          <w:sz w:val="24"/>
          <w:szCs w:val="24"/>
          <w:lang w:val="en-GB"/>
        </w:rPr>
        <w:t xml:space="preserve">. The later may result from the fact, that most subsidies scheme, such as those applied to the </w:t>
      </w:r>
      <w:r w:rsidR="006C3356">
        <w:rPr>
          <w:rFonts w:ascii="Times New Roman" w:eastAsia="Times New Roman" w:hAnsi="Times New Roman" w:cs="Times New Roman"/>
          <w:sz w:val="24"/>
          <w:szCs w:val="24"/>
          <w:lang w:val="en-GB"/>
        </w:rPr>
        <w:t>greenhouse</w:t>
      </w:r>
      <w:r w:rsidRPr="009A1DFD">
        <w:rPr>
          <w:rFonts w:ascii="Times New Roman" w:eastAsia="Times New Roman" w:hAnsi="Times New Roman" w:cs="Times New Roman"/>
          <w:sz w:val="24"/>
          <w:szCs w:val="24"/>
          <w:lang w:val="en-GB"/>
        </w:rPr>
        <w:t xml:space="preserve"> farmers, are not linked to or conditioned with technology transfer or improving access to advisory services. </w:t>
      </w:r>
    </w:p>
    <w:p w14:paraId="6437F8A6" w14:textId="17D12348" w:rsidR="00F24CE7" w:rsidRDefault="009A1DFD" w:rsidP="009A1DFD">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9A1DFD">
        <w:rPr>
          <w:rFonts w:ascii="Times New Roman" w:eastAsia="Times New Roman" w:hAnsi="Times New Roman" w:cs="Times New Roman"/>
          <w:sz w:val="24"/>
          <w:szCs w:val="24"/>
          <w:lang w:val="en-GB"/>
        </w:rPr>
        <w:lastRenderedPageBreak/>
        <w:t xml:space="preserve">The results of the study urge for a revision of the financing mechanism being offered to </w:t>
      </w:r>
      <w:r w:rsidR="006C3356">
        <w:rPr>
          <w:rFonts w:ascii="Times New Roman" w:eastAsia="Times New Roman" w:hAnsi="Times New Roman" w:cs="Times New Roman"/>
          <w:sz w:val="24"/>
          <w:szCs w:val="24"/>
          <w:lang w:val="en-GB"/>
        </w:rPr>
        <w:t>greenhouse</w:t>
      </w:r>
      <w:r w:rsidRPr="009A1DFD">
        <w:rPr>
          <w:rFonts w:ascii="Times New Roman" w:eastAsia="Times New Roman" w:hAnsi="Times New Roman" w:cs="Times New Roman"/>
          <w:sz w:val="24"/>
          <w:szCs w:val="24"/>
          <w:lang w:val="en-GB"/>
        </w:rPr>
        <w:t xml:space="preserve"> </w:t>
      </w:r>
      <w:r w:rsidR="006C3356">
        <w:rPr>
          <w:rFonts w:ascii="Times New Roman" w:eastAsia="Times New Roman" w:hAnsi="Times New Roman" w:cs="Times New Roman"/>
          <w:sz w:val="24"/>
          <w:szCs w:val="24"/>
          <w:lang w:val="en-GB"/>
        </w:rPr>
        <w:t>farms</w:t>
      </w:r>
      <w:r w:rsidR="00F24CE7">
        <w:rPr>
          <w:rFonts w:ascii="Times New Roman" w:eastAsia="Times New Roman" w:hAnsi="Times New Roman" w:cs="Times New Roman"/>
          <w:sz w:val="24"/>
          <w:szCs w:val="24"/>
          <w:lang w:val="en-GB"/>
        </w:rPr>
        <w:t xml:space="preserve"> </w:t>
      </w:r>
      <w:r w:rsidRPr="009A1DFD">
        <w:rPr>
          <w:rFonts w:ascii="Times New Roman" w:eastAsia="Times New Roman" w:hAnsi="Times New Roman" w:cs="Times New Roman"/>
          <w:sz w:val="24"/>
          <w:szCs w:val="24"/>
          <w:lang w:val="en-GB"/>
        </w:rPr>
        <w:t xml:space="preserve">in the future in Albania. NSS should reformulate support priorities, support measures, and eligibility criteria in the future. </w:t>
      </w:r>
      <w:r w:rsidR="00F24CE7">
        <w:rPr>
          <w:rFonts w:ascii="Times New Roman" w:eastAsia="Times New Roman" w:hAnsi="Times New Roman" w:cs="Times New Roman"/>
          <w:sz w:val="24"/>
          <w:szCs w:val="24"/>
          <w:lang w:val="en-GB"/>
        </w:rPr>
        <w:t>For example, g</w:t>
      </w:r>
      <w:r w:rsidR="00F24CE7" w:rsidRPr="00F24CE7">
        <w:rPr>
          <w:rFonts w:ascii="Times New Roman" w:eastAsia="Times New Roman" w:hAnsi="Times New Roman" w:cs="Times New Roman"/>
          <w:sz w:val="24"/>
          <w:szCs w:val="24"/>
          <w:lang w:val="en-GB"/>
        </w:rPr>
        <w:t>reenhouse requirement of above 2.8 meters height as a requirement to receive subsidies for plastic cover is considered as not realistic given that only a small proportion of farmers have currently this type of greenhouse</w:t>
      </w:r>
      <w:r w:rsidR="00F24CE7">
        <w:rPr>
          <w:rFonts w:ascii="Times New Roman" w:eastAsia="Times New Roman" w:hAnsi="Times New Roman" w:cs="Times New Roman"/>
          <w:sz w:val="24"/>
          <w:szCs w:val="24"/>
          <w:lang w:val="en-GB"/>
        </w:rPr>
        <w:t>.</w:t>
      </w:r>
    </w:p>
    <w:p w14:paraId="78D5FEBB" w14:textId="13A4BE72" w:rsidR="009A1DFD" w:rsidRDefault="009A1DFD" w:rsidP="009A1DFD">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sidRPr="009A1DFD">
        <w:rPr>
          <w:rFonts w:ascii="Times New Roman" w:eastAsia="Times New Roman" w:hAnsi="Times New Roman" w:cs="Times New Roman"/>
          <w:sz w:val="24"/>
          <w:szCs w:val="24"/>
          <w:lang w:val="en-GB"/>
        </w:rPr>
        <w:t xml:space="preserve">The Ministry of Agriculture should provide an increase overall level of funding in order to respond to sector’s needs. The provision of investments grants has been scarce due to shortage of funds. Policy makers should combine financial support with information, capacity development instruments, and innovation. Quite often, the problem might not be the lack of funding, but the lack of information and capacities both at individual business and at value chain level. Access to markets, better quality, contract farming and support to product and business development should be enabled vis a vis an increased funding. </w:t>
      </w:r>
    </w:p>
    <w:p w14:paraId="57475F82" w14:textId="6F7F4AC2" w:rsidR="00EE620E" w:rsidRDefault="00F24CE7" w:rsidP="009A1DFD">
      <w:pPr>
        <w:pBdr>
          <w:top w:val="nil"/>
          <w:left w:val="nil"/>
          <w:bottom w:val="nil"/>
          <w:right w:val="nil"/>
          <w:between w:val="nil"/>
        </w:pBdr>
        <w:spacing w:before="120" w:after="120" w:line="276"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subsidy support for greenhouse plastic cover change has l</w:t>
      </w:r>
      <w:r w:rsidRPr="00F24CE7">
        <w:rPr>
          <w:rFonts w:ascii="Times New Roman" w:eastAsia="Times New Roman" w:hAnsi="Times New Roman" w:cs="Times New Roman"/>
          <w:sz w:val="24"/>
          <w:szCs w:val="24"/>
          <w:lang w:val="en-GB"/>
        </w:rPr>
        <w:t>imited absorption due to this eligibility criterion</w:t>
      </w:r>
      <w:r>
        <w:rPr>
          <w:rFonts w:ascii="Times New Roman" w:eastAsia="Times New Roman" w:hAnsi="Times New Roman" w:cs="Times New Roman"/>
          <w:sz w:val="24"/>
          <w:szCs w:val="24"/>
          <w:lang w:val="en-GB"/>
        </w:rPr>
        <w:t xml:space="preserve">. In addition, lack of transparency has broken the farmers trust in institution leading to limited application for the scheme. </w:t>
      </w:r>
      <w:r w:rsidR="009A1DFD" w:rsidRPr="009A1DFD">
        <w:rPr>
          <w:rFonts w:ascii="Times New Roman" w:eastAsia="Times New Roman" w:hAnsi="Times New Roman" w:cs="Times New Roman"/>
          <w:sz w:val="24"/>
          <w:szCs w:val="24"/>
          <w:lang w:val="en-GB"/>
        </w:rPr>
        <w:t xml:space="preserve">Given the impact on </w:t>
      </w:r>
      <w:r>
        <w:rPr>
          <w:rFonts w:ascii="Times New Roman" w:eastAsia="Times New Roman" w:hAnsi="Times New Roman" w:cs="Times New Roman"/>
          <w:sz w:val="24"/>
          <w:szCs w:val="24"/>
          <w:lang w:val="en-GB"/>
        </w:rPr>
        <w:t>greenhouse area, investment and farm revenues</w:t>
      </w:r>
      <w:r w:rsidR="009A1DFD" w:rsidRPr="009A1DFD">
        <w:rPr>
          <w:rFonts w:ascii="Times New Roman" w:eastAsia="Times New Roman" w:hAnsi="Times New Roman" w:cs="Times New Roman"/>
          <w:sz w:val="24"/>
          <w:szCs w:val="24"/>
          <w:lang w:val="en-GB"/>
        </w:rPr>
        <w:t>, government should simplify and expand the support by revising the eligib</w:t>
      </w:r>
      <w:r w:rsidR="00C962C9">
        <w:rPr>
          <w:rFonts w:ascii="Times New Roman" w:eastAsia="Times New Roman" w:hAnsi="Times New Roman" w:cs="Times New Roman"/>
          <w:sz w:val="24"/>
          <w:szCs w:val="24"/>
          <w:lang w:val="en-GB"/>
        </w:rPr>
        <w:t>ility</w:t>
      </w:r>
      <w:r w:rsidR="009A1DFD" w:rsidRPr="009A1DFD">
        <w:rPr>
          <w:rFonts w:ascii="Times New Roman" w:eastAsia="Times New Roman" w:hAnsi="Times New Roman" w:cs="Times New Roman"/>
          <w:sz w:val="24"/>
          <w:szCs w:val="24"/>
          <w:lang w:val="en-GB"/>
        </w:rPr>
        <w:t xml:space="preserve"> criteria. The</w:t>
      </w:r>
      <w:r w:rsidR="00C962C9">
        <w:rPr>
          <w:rFonts w:ascii="Times New Roman" w:eastAsia="Times New Roman" w:hAnsi="Times New Roman" w:cs="Times New Roman"/>
          <w:sz w:val="24"/>
          <w:szCs w:val="24"/>
          <w:lang w:val="en-GB"/>
        </w:rPr>
        <w:t xml:space="preserve"> </w:t>
      </w:r>
      <w:r w:rsidR="009A1DFD" w:rsidRPr="009A1DFD">
        <w:rPr>
          <w:rFonts w:ascii="Times New Roman" w:eastAsia="Times New Roman" w:hAnsi="Times New Roman" w:cs="Times New Roman"/>
          <w:sz w:val="24"/>
          <w:szCs w:val="24"/>
          <w:lang w:val="en-GB"/>
        </w:rPr>
        <w:t>support should be provided based on cross-compliance requirements in order to contribute to other farm performance indicators</w:t>
      </w:r>
      <w:r w:rsidR="009A1DFD">
        <w:rPr>
          <w:rFonts w:ascii="Times New Roman" w:eastAsia="Times New Roman" w:hAnsi="Times New Roman" w:cs="Times New Roman"/>
          <w:sz w:val="24"/>
          <w:szCs w:val="24"/>
          <w:lang w:val="en-GB"/>
        </w:rPr>
        <w:t>.</w:t>
      </w:r>
    </w:p>
    <w:p w14:paraId="5FA10A6F" w14:textId="3BA0E83C" w:rsidR="00EE620E" w:rsidRDefault="00EE620E" w:rsidP="00EE620E">
      <w:pPr>
        <w:rPr>
          <w:lang w:val="en-GB"/>
        </w:rPr>
      </w:pPr>
    </w:p>
    <w:p w14:paraId="26FA1F43" w14:textId="77777777" w:rsidR="00EE620E" w:rsidRPr="00561FC0" w:rsidRDefault="00EE620E" w:rsidP="00561FC0">
      <w:pPr>
        <w:rPr>
          <w:lang w:val="en-GB"/>
        </w:rPr>
      </w:pPr>
    </w:p>
    <w:p w14:paraId="2646F0B6" w14:textId="4A6C3AD1" w:rsidR="001C38C8" w:rsidRDefault="00EE620E" w:rsidP="001C38C8">
      <w:pPr>
        <w:numPr>
          <w:ilvl w:val="0"/>
          <w:numId w:val="6"/>
        </w:numPr>
        <w:spacing w:before="120" w:after="120" w:line="276" w:lineRule="auto"/>
        <w:jc w:val="both"/>
        <w:outlineLvl w:val="0"/>
        <w:rPr>
          <w:rFonts w:ascii="Times New Roman" w:eastAsia="Times New Roman" w:hAnsi="Times New Roman" w:cs="Times New Roman"/>
          <w:b/>
          <w:bCs/>
          <w:kern w:val="36"/>
          <w:sz w:val="28"/>
          <w:szCs w:val="28"/>
          <w:lang w:val="en-GB"/>
        </w:rPr>
      </w:pPr>
      <w:r w:rsidRPr="00EE620E">
        <w:rPr>
          <w:rFonts w:ascii="Times New Roman" w:eastAsia="Times New Roman" w:hAnsi="Times New Roman" w:cs="Times New Roman"/>
          <w:b/>
          <w:bCs/>
          <w:kern w:val="36"/>
          <w:sz w:val="28"/>
          <w:szCs w:val="28"/>
          <w:lang w:val="en-GB"/>
        </w:rPr>
        <w:t>References</w:t>
      </w:r>
    </w:p>
    <w:p w14:paraId="6FC37D84" w14:textId="3C3203D1"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Acs</w:t>
      </w:r>
      <w:proofErr w:type="spellEnd"/>
      <w:r w:rsidRPr="00E67E09">
        <w:rPr>
          <w:rFonts w:ascii="Times New Roman" w:eastAsia="Times New Roman" w:hAnsi="Times New Roman" w:cs="Times New Roman"/>
          <w:sz w:val="24"/>
          <w:szCs w:val="24"/>
          <w:lang w:val="en-GB"/>
        </w:rPr>
        <w:t xml:space="preserve">, S., Hanley, N., </w:t>
      </w:r>
      <w:proofErr w:type="spellStart"/>
      <w:r w:rsidRPr="00E67E09">
        <w:rPr>
          <w:rFonts w:ascii="Times New Roman" w:eastAsia="Times New Roman" w:hAnsi="Times New Roman" w:cs="Times New Roman"/>
          <w:sz w:val="24"/>
          <w:szCs w:val="24"/>
          <w:lang w:val="en-GB"/>
        </w:rPr>
        <w:t>Dallimer</w:t>
      </w:r>
      <w:proofErr w:type="spellEnd"/>
      <w:r w:rsidRPr="00E67E09">
        <w:rPr>
          <w:rFonts w:ascii="Times New Roman" w:eastAsia="Times New Roman" w:hAnsi="Times New Roman" w:cs="Times New Roman"/>
          <w:sz w:val="24"/>
          <w:szCs w:val="24"/>
          <w:lang w:val="en-GB"/>
        </w:rPr>
        <w:t xml:space="preserve">, M., Gaston, K. J., Robertson, P., Wilson, P., &amp; </w:t>
      </w:r>
      <w:proofErr w:type="spellStart"/>
      <w:r w:rsidRPr="00E67E09">
        <w:rPr>
          <w:rFonts w:ascii="Times New Roman" w:eastAsia="Times New Roman" w:hAnsi="Times New Roman" w:cs="Times New Roman"/>
          <w:sz w:val="24"/>
          <w:szCs w:val="24"/>
          <w:lang w:val="en-GB"/>
        </w:rPr>
        <w:t>Armsworth</w:t>
      </w:r>
      <w:proofErr w:type="spellEnd"/>
      <w:r w:rsidRPr="00E67E09">
        <w:rPr>
          <w:rFonts w:ascii="Times New Roman" w:eastAsia="Times New Roman" w:hAnsi="Times New Roman" w:cs="Times New Roman"/>
          <w:sz w:val="24"/>
          <w:szCs w:val="24"/>
          <w:lang w:val="en-GB"/>
        </w:rPr>
        <w:t xml:space="preserve">, P. R. (2010). The effect of decoupling on marginal agricultural systems: implications for farm incomes, land use and upland ecology. Land use policy, 27(2), 550-563. </w:t>
      </w:r>
    </w:p>
    <w:p w14:paraId="39B313DC"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Athey</w:t>
      </w:r>
      <w:proofErr w:type="spellEnd"/>
      <w:r w:rsidRPr="00E67E09">
        <w:rPr>
          <w:rFonts w:ascii="Times New Roman" w:eastAsia="Times New Roman" w:hAnsi="Times New Roman" w:cs="Times New Roman"/>
          <w:sz w:val="24"/>
          <w:szCs w:val="24"/>
          <w:lang w:val="en-GB"/>
        </w:rPr>
        <w:t>, S., &amp; Wager, S. (2019). Estimating treatment effects with causal forests: An application. Observational Studies, 5(2), 37-51.</w:t>
      </w:r>
    </w:p>
    <w:p w14:paraId="260DAFC5"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Baltzer</w:t>
      </w:r>
      <w:proofErr w:type="spellEnd"/>
      <w:r w:rsidRPr="00E67E09">
        <w:rPr>
          <w:rFonts w:ascii="Times New Roman" w:eastAsia="Times New Roman" w:hAnsi="Times New Roman" w:cs="Times New Roman"/>
          <w:sz w:val="24"/>
          <w:szCs w:val="24"/>
          <w:lang w:val="en-GB"/>
        </w:rPr>
        <w:t xml:space="preserve">, K. and Hansen, H. (2011): Evaluation Study: Agricultural input subsidies in Sub-Saharan Africa. Copenhagen: Ministry of Foreign </w:t>
      </w:r>
      <w:proofErr w:type="spellStart"/>
      <w:r w:rsidRPr="00E67E09">
        <w:rPr>
          <w:rFonts w:ascii="Times New Roman" w:eastAsia="Times New Roman" w:hAnsi="Times New Roman" w:cs="Times New Roman"/>
          <w:sz w:val="24"/>
          <w:szCs w:val="24"/>
          <w:lang w:val="en-GB"/>
        </w:rPr>
        <w:t>Aff</w:t>
      </w:r>
      <w:proofErr w:type="spellEnd"/>
      <w:r w:rsidRPr="00E67E09">
        <w:rPr>
          <w:rFonts w:ascii="Times New Roman" w:eastAsia="Times New Roman" w:hAnsi="Times New Roman" w:cs="Times New Roman"/>
          <w:sz w:val="24"/>
          <w:szCs w:val="24"/>
          <w:lang w:val="en-GB"/>
        </w:rPr>
        <w:t xml:space="preserve"> airs of Denmark</w:t>
      </w:r>
    </w:p>
    <w:p w14:paraId="761CF207"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Bojnec</w:t>
      </w:r>
      <w:proofErr w:type="spellEnd"/>
      <w:r w:rsidRPr="00E67E09">
        <w:rPr>
          <w:rFonts w:ascii="Times New Roman" w:eastAsia="Times New Roman" w:hAnsi="Times New Roman" w:cs="Times New Roman"/>
          <w:sz w:val="24"/>
          <w:szCs w:val="24"/>
          <w:lang w:val="en-GB"/>
        </w:rPr>
        <w:t xml:space="preserve">, Š., &amp; </w:t>
      </w:r>
      <w:proofErr w:type="spellStart"/>
      <w:r w:rsidRPr="00E67E09">
        <w:rPr>
          <w:rFonts w:ascii="Times New Roman" w:eastAsia="Times New Roman" w:hAnsi="Times New Roman" w:cs="Times New Roman"/>
          <w:sz w:val="24"/>
          <w:szCs w:val="24"/>
          <w:lang w:val="en-GB"/>
        </w:rPr>
        <w:t>Fertő</w:t>
      </w:r>
      <w:proofErr w:type="spellEnd"/>
      <w:r w:rsidRPr="00E67E09">
        <w:rPr>
          <w:rFonts w:ascii="Times New Roman" w:eastAsia="Times New Roman" w:hAnsi="Times New Roman" w:cs="Times New Roman"/>
          <w:sz w:val="24"/>
          <w:szCs w:val="24"/>
          <w:lang w:val="en-GB"/>
        </w:rPr>
        <w:t xml:space="preserve">, I. (2019). Do CAP subsidies stabilise farm income in Hungary and </w:t>
      </w:r>
      <w:proofErr w:type="gramStart"/>
      <w:r w:rsidRPr="00E67E09">
        <w:rPr>
          <w:rFonts w:ascii="Times New Roman" w:eastAsia="Times New Roman" w:hAnsi="Times New Roman" w:cs="Times New Roman"/>
          <w:sz w:val="24"/>
          <w:szCs w:val="24"/>
          <w:lang w:val="en-GB"/>
        </w:rPr>
        <w:t>Slovenia?.</w:t>
      </w:r>
      <w:proofErr w:type="gramEnd"/>
      <w:r w:rsidRPr="00E67E09">
        <w:rPr>
          <w:rFonts w:ascii="Times New Roman" w:eastAsia="Times New Roman" w:hAnsi="Times New Roman" w:cs="Times New Roman"/>
          <w:sz w:val="24"/>
          <w:szCs w:val="24"/>
          <w:lang w:val="en-GB"/>
        </w:rPr>
        <w:t xml:space="preserve"> Agricultural Economics, 65(3), 103-111.</w:t>
      </w:r>
    </w:p>
    <w:p w14:paraId="2EA45296" w14:textId="77777777" w:rsidR="00751DCC" w:rsidRDefault="00751DCC"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751DCC">
        <w:rPr>
          <w:rFonts w:ascii="Times New Roman" w:eastAsia="Times New Roman" w:hAnsi="Times New Roman" w:cs="Times New Roman"/>
          <w:sz w:val="24"/>
          <w:szCs w:val="24"/>
          <w:lang w:val="en-GB"/>
        </w:rPr>
        <w:t>Breiman</w:t>
      </w:r>
      <w:proofErr w:type="spellEnd"/>
      <w:r w:rsidRPr="00751DCC">
        <w:rPr>
          <w:rFonts w:ascii="Times New Roman" w:eastAsia="Times New Roman" w:hAnsi="Times New Roman" w:cs="Times New Roman"/>
          <w:sz w:val="24"/>
          <w:szCs w:val="24"/>
          <w:lang w:val="en-GB"/>
        </w:rPr>
        <w:t xml:space="preserve">, L. (2001) Random Forests. Machine Learning, 45, 5-32. </w:t>
      </w:r>
    </w:p>
    <w:p w14:paraId="2DBD9727" w14:textId="15DBDC6F"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 xml:space="preserve">Diamond, A., &amp; </w:t>
      </w:r>
      <w:proofErr w:type="spellStart"/>
      <w:r w:rsidRPr="00E67E09">
        <w:rPr>
          <w:rFonts w:ascii="Times New Roman" w:eastAsia="Times New Roman" w:hAnsi="Times New Roman" w:cs="Times New Roman"/>
          <w:sz w:val="24"/>
          <w:szCs w:val="24"/>
          <w:lang w:val="en-GB"/>
        </w:rPr>
        <w:t>Sekhon</w:t>
      </w:r>
      <w:proofErr w:type="spellEnd"/>
      <w:r w:rsidRPr="00E67E09">
        <w:rPr>
          <w:rFonts w:ascii="Times New Roman" w:eastAsia="Times New Roman" w:hAnsi="Times New Roman" w:cs="Times New Roman"/>
          <w:sz w:val="24"/>
          <w:szCs w:val="24"/>
          <w:lang w:val="en-GB"/>
        </w:rPr>
        <w:t>, J. S. (2013). Genetic matching for estimating causal effects: A general multivariate matching method for achieving balance in observational studies. Review of Economics and Statistics, 95(3), 932-945.</w:t>
      </w:r>
    </w:p>
    <w:p w14:paraId="5D5C867D"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 xml:space="preserve">FAO. (2020). Smallholders and Family Farms in Albania, FAO Country Study Report, Available at: http://www.fao.org/3/ca7450en/CA7450EN.pdf  </w:t>
      </w:r>
    </w:p>
    <w:p w14:paraId="41A042A6"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lastRenderedPageBreak/>
        <w:t>Frawley, J. P., &amp; Keeney, M. (2000). The Impact of Direct Payments on Farm Income Distribution. Teagasc.</w:t>
      </w:r>
    </w:p>
    <w:p w14:paraId="3C29C0F5"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Gecaj</w:t>
      </w:r>
      <w:proofErr w:type="spellEnd"/>
      <w:r w:rsidRPr="00E67E09">
        <w:rPr>
          <w:rFonts w:ascii="Times New Roman" w:eastAsia="Times New Roman" w:hAnsi="Times New Roman" w:cs="Times New Roman"/>
          <w:sz w:val="24"/>
          <w:szCs w:val="24"/>
          <w:lang w:val="en-GB"/>
        </w:rPr>
        <w:t xml:space="preserve">, M., Shahu, E., Imami, D., Skreli, E., &amp; </w:t>
      </w:r>
      <w:proofErr w:type="spellStart"/>
      <w:r w:rsidRPr="00E67E09">
        <w:rPr>
          <w:rFonts w:ascii="Times New Roman" w:eastAsia="Times New Roman" w:hAnsi="Times New Roman" w:cs="Times New Roman"/>
          <w:sz w:val="24"/>
          <w:szCs w:val="24"/>
          <w:lang w:val="en-GB"/>
        </w:rPr>
        <w:t>Jambor</w:t>
      </w:r>
      <w:proofErr w:type="spellEnd"/>
      <w:r w:rsidRPr="00E67E09">
        <w:rPr>
          <w:rFonts w:ascii="Times New Roman" w:eastAsia="Times New Roman" w:hAnsi="Times New Roman" w:cs="Times New Roman"/>
          <w:sz w:val="24"/>
          <w:szCs w:val="24"/>
          <w:lang w:val="en-GB"/>
        </w:rPr>
        <w:t>, A. (2019). Analysing the impact of subsidies on the Albanian agriculture sector. Bulgarian Journal of Agricultural Science, 25(5), 883-890.</w:t>
      </w:r>
    </w:p>
    <w:p w14:paraId="28DC4B00"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Imbens</w:t>
      </w:r>
      <w:proofErr w:type="spellEnd"/>
      <w:r w:rsidRPr="00E67E09">
        <w:rPr>
          <w:rFonts w:ascii="Times New Roman" w:eastAsia="Times New Roman" w:hAnsi="Times New Roman" w:cs="Times New Roman"/>
          <w:sz w:val="24"/>
          <w:szCs w:val="24"/>
          <w:lang w:val="en-GB"/>
        </w:rPr>
        <w:t>, G. W., &amp; Rubin, D. B. (2015). Causal inference in statistics, social, and biomedical sciences. Cambridge University Press.</w:t>
      </w:r>
    </w:p>
    <w:p w14:paraId="26360A3B"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Kazukauskas</w:t>
      </w:r>
      <w:proofErr w:type="spellEnd"/>
      <w:r w:rsidRPr="00E67E09">
        <w:rPr>
          <w:rFonts w:ascii="Times New Roman" w:eastAsia="Times New Roman" w:hAnsi="Times New Roman" w:cs="Times New Roman"/>
          <w:sz w:val="24"/>
          <w:szCs w:val="24"/>
          <w:lang w:val="en-GB"/>
        </w:rPr>
        <w:t>, A., Newman, C., Clancy, D., &amp; Sauer, J. (2013). Disinvestment, farm size, and gradual farm exit: the impact of subsidy decoupling in a European context. American Journal of Agricultural Economics, 95(5), 1068-1087.</w:t>
      </w:r>
    </w:p>
    <w:p w14:paraId="02333B00"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 xml:space="preserve">Kumbhakar, S. C., &amp; Lien, G. (2010). Impact of subsidies on farm productivity and efficiency. In The economic impact of public support to agriculture (pp. 109-124). Springer, New York, NY. </w:t>
      </w:r>
    </w:p>
    <w:p w14:paraId="026B2002"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Lakner</w:t>
      </w:r>
      <w:proofErr w:type="spellEnd"/>
      <w:r w:rsidRPr="00E67E09">
        <w:rPr>
          <w:rFonts w:ascii="Times New Roman" w:eastAsia="Times New Roman" w:hAnsi="Times New Roman" w:cs="Times New Roman"/>
          <w:sz w:val="24"/>
          <w:szCs w:val="24"/>
          <w:lang w:val="en-GB"/>
        </w:rPr>
        <w:t xml:space="preserve">, S. (2009). Technical efficiency of organic milk-farms in Germany {the role of subsidies and of regional factors. </w:t>
      </w:r>
    </w:p>
    <w:p w14:paraId="62B79843"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Latruffe</w:t>
      </w:r>
      <w:proofErr w:type="spellEnd"/>
      <w:r w:rsidRPr="00E67E09">
        <w:rPr>
          <w:rFonts w:ascii="Times New Roman" w:eastAsia="Times New Roman" w:hAnsi="Times New Roman" w:cs="Times New Roman"/>
          <w:sz w:val="24"/>
          <w:szCs w:val="24"/>
          <w:lang w:val="en-GB"/>
        </w:rPr>
        <w:t>, L., Bravo-</w:t>
      </w:r>
      <w:proofErr w:type="spellStart"/>
      <w:r w:rsidRPr="00E67E09">
        <w:rPr>
          <w:rFonts w:ascii="Times New Roman" w:eastAsia="Times New Roman" w:hAnsi="Times New Roman" w:cs="Times New Roman"/>
          <w:sz w:val="24"/>
          <w:szCs w:val="24"/>
          <w:lang w:val="en-GB"/>
        </w:rPr>
        <w:t>Ureta</w:t>
      </w:r>
      <w:proofErr w:type="spellEnd"/>
      <w:r w:rsidRPr="00E67E09">
        <w:rPr>
          <w:rFonts w:ascii="Times New Roman" w:eastAsia="Times New Roman" w:hAnsi="Times New Roman" w:cs="Times New Roman"/>
          <w:sz w:val="24"/>
          <w:szCs w:val="24"/>
          <w:lang w:val="en-GB"/>
        </w:rPr>
        <w:t xml:space="preserve">, B. E., Moreira, V. H., </w:t>
      </w:r>
      <w:proofErr w:type="spellStart"/>
      <w:r w:rsidRPr="00E67E09">
        <w:rPr>
          <w:rFonts w:ascii="Times New Roman" w:eastAsia="Times New Roman" w:hAnsi="Times New Roman" w:cs="Times New Roman"/>
          <w:sz w:val="24"/>
          <w:szCs w:val="24"/>
          <w:lang w:val="en-GB"/>
        </w:rPr>
        <w:t>Desjeux</w:t>
      </w:r>
      <w:proofErr w:type="spellEnd"/>
      <w:r w:rsidRPr="00E67E09">
        <w:rPr>
          <w:rFonts w:ascii="Times New Roman" w:eastAsia="Times New Roman" w:hAnsi="Times New Roman" w:cs="Times New Roman"/>
          <w:sz w:val="24"/>
          <w:szCs w:val="24"/>
          <w:lang w:val="en-GB"/>
        </w:rPr>
        <w:t xml:space="preserve">, Y., &amp; </w:t>
      </w:r>
      <w:proofErr w:type="spellStart"/>
      <w:r w:rsidRPr="00E67E09">
        <w:rPr>
          <w:rFonts w:ascii="Times New Roman" w:eastAsia="Times New Roman" w:hAnsi="Times New Roman" w:cs="Times New Roman"/>
          <w:sz w:val="24"/>
          <w:szCs w:val="24"/>
          <w:lang w:val="en-GB"/>
        </w:rPr>
        <w:t>Dupraz</w:t>
      </w:r>
      <w:proofErr w:type="spellEnd"/>
      <w:r w:rsidRPr="00E67E09">
        <w:rPr>
          <w:rFonts w:ascii="Times New Roman" w:eastAsia="Times New Roman" w:hAnsi="Times New Roman" w:cs="Times New Roman"/>
          <w:sz w:val="24"/>
          <w:szCs w:val="24"/>
          <w:lang w:val="en-GB"/>
        </w:rPr>
        <w:t>, P. (2011, August). Productivity and subsidies in European Union countries: An analysis for dairy farms using input distance frontiers. In 13. EAAE Congress:" Change and Uncertainty Challenges for Agriculture, Food and Natural Resources" (pp. 16-p).</w:t>
      </w:r>
    </w:p>
    <w:p w14:paraId="38592145"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 xml:space="preserve">McCloud, Nadine, and </w:t>
      </w:r>
      <w:proofErr w:type="spellStart"/>
      <w:r w:rsidRPr="00E67E09">
        <w:rPr>
          <w:rFonts w:ascii="Times New Roman" w:eastAsia="Times New Roman" w:hAnsi="Times New Roman" w:cs="Times New Roman"/>
          <w:sz w:val="24"/>
          <w:szCs w:val="24"/>
          <w:lang w:val="en-GB"/>
        </w:rPr>
        <w:t>Subal</w:t>
      </w:r>
      <w:proofErr w:type="spellEnd"/>
      <w:r w:rsidRPr="00E67E09">
        <w:rPr>
          <w:rFonts w:ascii="Times New Roman" w:eastAsia="Times New Roman" w:hAnsi="Times New Roman" w:cs="Times New Roman"/>
          <w:sz w:val="24"/>
          <w:szCs w:val="24"/>
          <w:lang w:val="en-GB"/>
        </w:rPr>
        <w:t xml:space="preserve"> C. Kumbhakar. "Do subsidies drive productivity? A cross-country analysis of Nordic dairy farms." Bayesian econometrics. Emerald Group Publishing Limited, 2008.</w:t>
      </w:r>
    </w:p>
    <w:p w14:paraId="4E5E2B95"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O’Toole, C., &amp; Hennessy, T. (2015). Do decoupled payments affect investment financing constraints? Evidence from Irish agriculture. Food Policy, 56, 67-75.</w:t>
      </w:r>
    </w:p>
    <w:p w14:paraId="0DBAD2F7"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Olper</w:t>
      </w:r>
      <w:proofErr w:type="spellEnd"/>
      <w:r w:rsidRPr="00E67E09">
        <w:rPr>
          <w:rFonts w:ascii="Times New Roman" w:eastAsia="Times New Roman" w:hAnsi="Times New Roman" w:cs="Times New Roman"/>
          <w:sz w:val="24"/>
          <w:szCs w:val="24"/>
          <w:lang w:val="en-GB"/>
        </w:rPr>
        <w:t xml:space="preserve">, A., Raimondi, V., </w:t>
      </w:r>
      <w:proofErr w:type="spellStart"/>
      <w:r w:rsidRPr="00E67E09">
        <w:rPr>
          <w:rFonts w:ascii="Times New Roman" w:eastAsia="Times New Roman" w:hAnsi="Times New Roman" w:cs="Times New Roman"/>
          <w:sz w:val="24"/>
          <w:szCs w:val="24"/>
          <w:lang w:val="en-GB"/>
        </w:rPr>
        <w:t>Vigani</w:t>
      </w:r>
      <w:proofErr w:type="spellEnd"/>
      <w:r w:rsidRPr="00E67E09">
        <w:rPr>
          <w:rFonts w:ascii="Times New Roman" w:eastAsia="Times New Roman" w:hAnsi="Times New Roman" w:cs="Times New Roman"/>
          <w:sz w:val="24"/>
          <w:szCs w:val="24"/>
          <w:lang w:val="en-GB"/>
        </w:rPr>
        <w:t xml:space="preserve">, M., &amp; </w:t>
      </w:r>
      <w:proofErr w:type="spellStart"/>
      <w:r w:rsidRPr="00E67E09">
        <w:rPr>
          <w:rFonts w:ascii="Times New Roman" w:eastAsia="Times New Roman" w:hAnsi="Times New Roman" w:cs="Times New Roman"/>
          <w:sz w:val="24"/>
          <w:szCs w:val="24"/>
          <w:lang w:val="en-GB"/>
        </w:rPr>
        <w:t>Cavicchioli</w:t>
      </w:r>
      <w:proofErr w:type="spellEnd"/>
      <w:r w:rsidRPr="00E67E09">
        <w:rPr>
          <w:rFonts w:ascii="Times New Roman" w:eastAsia="Times New Roman" w:hAnsi="Times New Roman" w:cs="Times New Roman"/>
          <w:sz w:val="24"/>
          <w:szCs w:val="24"/>
          <w:lang w:val="en-GB"/>
        </w:rPr>
        <w:t>, D. (2012). Does the common agricultural policy reduce farm labour migration? Panel data analysis across EU regions.</w:t>
      </w:r>
    </w:p>
    <w:p w14:paraId="533C0D6B"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Rama, K., Zhllima, E., and Imami, D., 2018, Albania´s challenges of implementation of Agri-Environmental Policies in the framework of EU Accession, available at: http://library.fes.de/pdf-files/bueros/albanien/14991.pdf.</w:t>
      </w:r>
    </w:p>
    <w:p w14:paraId="41DBAAD9"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Reise</w:t>
      </w:r>
      <w:proofErr w:type="spellEnd"/>
      <w:r w:rsidRPr="00E67E09">
        <w:rPr>
          <w:rFonts w:ascii="Times New Roman" w:eastAsia="Times New Roman" w:hAnsi="Times New Roman" w:cs="Times New Roman"/>
          <w:sz w:val="24"/>
          <w:szCs w:val="24"/>
          <w:lang w:val="en-GB"/>
        </w:rPr>
        <w:t xml:space="preserve">, C., </w:t>
      </w:r>
      <w:proofErr w:type="spellStart"/>
      <w:r w:rsidRPr="00E67E09">
        <w:rPr>
          <w:rFonts w:ascii="Times New Roman" w:eastAsia="Times New Roman" w:hAnsi="Times New Roman" w:cs="Times New Roman"/>
          <w:sz w:val="24"/>
          <w:szCs w:val="24"/>
          <w:lang w:val="en-GB"/>
        </w:rPr>
        <w:t>Musshoff</w:t>
      </w:r>
      <w:proofErr w:type="spellEnd"/>
      <w:r w:rsidRPr="00E67E09">
        <w:rPr>
          <w:rFonts w:ascii="Times New Roman" w:eastAsia="Times New Roman" w:hAnsi="Times New Roman" w:cs="Times New Roman"/>
          <w:sz w:val="24"/>
          <w:szCs w:val="24"/>
          <w:lang w:val="en-GB"/>
        </w:rPr>
        <w:t xml:space="preserve">, O., </w:t>
      </w:r>
      <w:proofErr w:type="spellStart"/>
      <w:r w:rsidRPr="00E67E09">
        <w:rPr>
          <w:rFonts w:ascii="Times New Roman" w:eastAsia="Times New Roman" w:hAnsi="Times New Roman" w:cs="Times New Roman"/>
          <w:sz w:val="24"/>
          <w:szCs w:val="24"/>
          <w:lang w:val="en-GB"/>
        </w:rPr>
        <w:t>Granoszewski</w:t>
      </w:r>
      <w:proofErr w:type="spellEnd"/>
      <w:r w:rsidRPr="00E67E09">
        <w:rPr>
          <w:rFonts w:ascii="Times New Roman" w:eastAsia="Times New Roman" w:hAnsi="Times New Roman" w:cs="Times New Roman"/>
          <w:sz w:val="24"/>
          <w:szCs w:val="24"/>
          <w:lang w:val="en-GB"/>
        </w:rPr>
        <w:t xml:space="preserve">, K., &amp; Spiller, A. (2012). Which factors influence the expansion of bioenergy? An empirical study of the investment behaviours of German farmers. Ecological Economics, 73, 133-141. </w:t>
      </w:r>
    </w:p>
    <w:p w14:paraId="23360CAB"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Rosenbaum, P. R., and Rubin, D. B. (1985). Constructing a control group using multivariate matched sampling methods that incorporate the propensity score. The American Statistician, 39(1), 33-38.</w:t>
      </w:r>
    </w:p>
    <w:p w14:paraId="6B90BAAF"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t>Sekhon</w:t>
      </w:r>
      <w:proofErr w:type="spellEnd"/>
      <w:r w:rsidRPr="00E67E09">
        <w:rPr>
          <w:rFonts w:ascii="Times New Roman" w:eastAsia="Times New Roman" w:hAnsi="Times New Roman" w:cs="Times New Roman"/>
          <w:sz w:val="24"/>
          <w:szCs w:val="24"/>
          <w:lang w:val="en-GB"/>
        </w:rPr>
        <w:t>, J. S., &amp; Mebane, W. R. (1998). Genetic optimization using derivatives. Political Analysis, 7, 187-210.</w:t>
      </w:r>
    </w:p>
    <w:p w14:paraId="2A56BF1E"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proofErr w:type="spellStart"/>
      <w:r w:rsidRPr="00E67E09">
        <w:rPr>
          <w:rFonts w:ascii="Times New Roman" w:eastAsia="Times New Roman" w:hAnsi="Times New Roman" w:cs="Times New Roman"/>
          <w:sz w:val="24"/>
          <w:szCs w:val="24"/>
          <w:lang w:val="en-GB"/>
        </w:rPr>
        <w:lastRenderedPageBreak/>
        <w:t>Severini</w:t>
      </w:r>
      <w:proofErr w:type="spellEnd"/>
      <w:r w:rsidRPr="00E67E09">
        <w:rPr>
          <w:rFonts w:ascii="Times New Roman" w:eastAsia="Times New Roman" w:hAnsi="Times New Roman" w:cs="Times New Roman"/>
          <w:sz w:val="24"/>
          <w:szCs w:val="24"/>
          <w:lang w:val="en-GB"/>
        </w:rPr>
        <w:t xml:space="preserve">, S., </w:t>
      </w:r>
      <w:proofErr w:type="spellStart"/>
      <w:r w:rsidRPr="00E67E09">
        <w:rPr>
          <w:rFonts w:ascii="Times New Roman" w:eastAsia="Times New Roman" w:hAnsi="Times New Roman" w:cs="Times New Roman"/>
          <w:sz w:val="24"/>
          <w:szCs w:val="24"/>
          <w:lang w:val="en-GB"/>
        </w:rPr>
        <w:t>Tantari</w:t>
      </w:r>
      <w:proofErr w:type="spellEnd"/>
      <w:r w:rsidRPr="00E67E09">
        <w:rPr>
          <w:rFonts w:ascii="Times New Roman" w:eastAsia="Times New Roman" w:hAnsi="Times New Roman" w:cs="Times New Roman"/>
          <w:sz w:val="24"/>
          <w:szCs w:val="24"/>
          <w:lang w:val="en-GB"/>
        </w:rPr>
        <w:t>, A., and Di Tommaso, G. (2016). Do CAP direct payments stabilise farm income? Empirical evidences from a constant sample of Italian farms. Agricultural and Food Economics, 4(1), 6.</w:t>
      </w:r>
    </w:p>
    <w:p w14:paraId="5CEE98F8"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 xml:space="preserve">Skreli, E., Imami, D., </w:t>
      </w:r>
      <w:proofErr w:type="spellStart"/>
      <w:r w:rsidRPr="00E67E09">
        <w:rPr>
          <w:rFonts w:ascii="Times New Roman" w:eastAsia="Times New Roman" w:hAnsi="Times New Roman" w:cs="Times New Roman"/>
          <w:sz w:val="24"/>
          <w:szCs w:val="24"/>
          <w:lang w:val="en-GB"/>
        </w:rPr>
        <w:t>Jámbor</w:t>
      </w:r>
      <w:proofErr w:type="spellEnd"/>
      <w:r w:rsidRPr="00E67E09">
        <w:rPr>
          <w:rFonts w:ascii="Times New Roman" w:eastAsia="Times New Roman" w:hAnsi="Times New Roman" w:cs="Times New Roman"/>
          <w:sz w:val="24"/>
          <w:szCs w:val="24"/>
          <w:lang w:val="en-GB"/>
        </w:rPr>
        <w:t xml:space="preserve">, A., Zvyagintsev, D., and </w:t>
      </w:r>
      <w:proofErr w:type="spellStart"/>
      <w:r w:rsidRPr="00E67E09">
        <w:rPr>
          <w:rFonts w:ascii="Times New Roman" w:eastAsia="Times New Roman" w:hAnsi="Times New Roman" w:cs="Times New Roman"/>
          <w:sz w:val="24"/>
          <w:szCs w:val="24"/>
          <w:lang w:val="en-GB"/>
        </w:rPr>
        <w:t>Cera</w:t>
      </w:r>
      <w:proofErr w:type="spellEnd"/>
      <w:r w:rsidRPr="00E67E09">
        <w:rPr>
          <w:rFonts w:ascii="Times New Roman" w:eastAsia="Times New Roman" w:hAnsi="Times New Roman" w:cs="Times New Roman"/>
          <w:sz w:val="24"/>
          <w:szCs w:val="24"/>
          <w:lang w:val="en-GB"/>
        </w:rPr>
        <w:t>, G. (2015). The impact of government subsidies on the olive and vineyard sectors of Albanian agriculture. Studies in Agricultural Economics, 117(3), 119-125.</w:t>
      </w:r>
    </w:p>
    <w:p w14:paraId="486F4F57"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 xml:space="preserve">Storm, H., </w:t>
      </w:r>
      <w:proofErr w:type="spellStart"/>
      <w:r w:rsidRPr="00E67E09">
        <w:rPr>
          <w:rFonts w:ascii="Times New Roman" w:eastAsia="Times New Roman" w:hAnsi="Times New Roman" w:cs="Times New Roman"/>
          <w:sz w:val="24"/>
          <w:szCs w:val="24"/>
          <w:lang w:val="en-GB"/>
        </w:rPr>
        <w:t>Mittenzwei</w:t>
      </w:r>
      <w:proofErr w:type="spellEnd"/>
      <w:r w:rsidRPr="00E67E09">
        <w:rPr>
          <w:rFonts w:ascii="Times New Roman" w:eastAsia="Times New Roman" w:hAnsi="Times New Roman" w:cs="Times New Roman"/>
          <w:sz w:val="24"/>
          <w:szCs w:val="24"/>
          <w:lang w:val="en-GB"/>
        </w:rPr>
        <w:t xml:space="preserve">, K., &amp; </w:t>
      </w:r>
      <w:proofErr w:type="spellStart"/>
      <w:r w:rsidRPr="00E67E09">
        <w:rPr>
          <w:rFonts w:ascii="Times New Roman" w:eastAsia="Times New Roman" w:hAnsi="Times New Roman" w:cs="Times New Roman"/>
          <w:sz w:val="24"/>
          <w:szCs w:val="24"/>
          <w:lang w:val="en-GB"/>
        </w:rPr>
        <w:t>Heckelei</w:t>
      </w:r>
      <w:proofErr w:type="spellEnd"/>
      <w:r w:rsidRPr="00E67E09">
        <w:rPr>
          <w:rFonts w:ascii="Times New Roman" w:eastAsia="Times New Roman" w:hAnsi="Times New Roman" w:cs="Times New Roman"/>
          <w:sz w:val="24"/>
          <w:szCs w:val="24"/>
          <w:lang w:val="en-GB"/>
        </w:rPr>
        <w:t>, T. (2015). Direct payments, spatial competition, and farm survival in Norway. American Journal of Agricultural Economics, 97(4), 1192-1205.</w:t>
      </w:r>
    </w:p>
    <w:p w14:paraId="71438FFF" w14:textId="77777777" w:rsidR="00E67E09" w:rsidRPr="00E67E09"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 xml:space="preserve">Volk, T., </w:t>
      </w:r>
      <w:proofErr w:type="spellStart"/>
      <w:r w:rsidRPr="00E67E09">
        <w:rPr>
          <w:rFonts w:ascii="Times New Roman" w:eastAsia="Times New Roman" w:hAnsi="Times New Roman" w:cs="Times New Roman"/>
          <w:sz w:val="24"/>
          <w:szCs w:val="24"/>
          <w:lang w:val="en-GB"/>
        </w:rPr>
        <w:t>Rednak</w:t>
      </w:r>
      <w:proofErr w:type="spellEnd"/>
      <w:r w:rsidRPr="00E67E09">
        <w:rPr>
          <w:rFonts w:ascii="Times New Roman" w:eastAsia="Times New Roman" w:hAnsi="Times New Roman" w:cs="Times New Roman"/>
          <w:sz w:val="24"/>
          <w:szCs w:val="24"/>
          <w:lang w:val="en-GB"/>
        </w:rPr>
        <w:t xml:space="preserve">, M., Erjavec, E., Zhllima, E., </w:t>
      </w:r>
      <w:proofErr w:type="spellStart"/>
      <w:r w:rsidRPr="00E67E09">
        <w:rPr>
          <w:rFonts w:ascii="Times New Roman" w:eastAsia="Times New Roman" w:hAnsi="Times New Roman" w:cs="Times New Roman"/>
          <w:sz w:val="24"/>
          <w:szCs w:val="24"/>
          <w:lang w:val="en-GB"/>
        </w:rPr>
        <w:t>Gjeci</w:t>
      </w:r>
      <w:proofErr w:type="spellEnd"/>
      <w:r w:rsidRPr="00E67E09">
        <w:rPr>
          <w:rFonts w:ascii="Times New Roman" w:eastAsia="Times New Roman" w:hAnsi="Times New Roman" w:cs="Times New Roman"/>
          <w:sz w:val="24"/>
          <w:szCs w:val="24"/>
          <w:lang w:val="en-GB"/>
        </w:rPr>
        <w:t xml:space="preserve">, G., </w:t>
      </w:r>
      <w:proofErr w:type="spellStart"/>
      <w:r w:rsidRPr="00E67E09">
        <w:rPr>
          <w:rFonts w:ascii="Times New Roman" w:eastAsia="Times New Roman" w:hAnsi="Times New Roman" w:cs="Times New Roman"/>
          <w:sz w:val="24"/>
          <w:szCs w:val="24"/>
          <w:lang w:val="en-GB"/>
        </w:rPr>
        <w:t>Bajramovic</w:t>
      </w:r>
      <w:proofErr w:type="spellEnd"/>
      <w:r w:rsidRPr="00E67E09">
        <w:rPr>
          <w:rFonts w:ascii="Times New Roman" w:eastAsia="Times New Roman" w:hAnsi="Times New Roman" w:cs="Times New Roman"/>
          <w:sz w:val="24"/>
          <w:szCs w:val="24"/>
          <w:lang w:val="en-GB"/>
        </w:rPr>
        <w:t xml:space="preserve">, S., ... &amp; </w:t>
      </w:r>
      <w:proofErr w:type="spellStart"/>
      <w:r w:rsidRPr="00E67E09">
        <w:rPr>
          <w:rFonts w:ascii="Times New Roman" w:eastAsia="Times New Roman" w:hAnsi="Times New Roman" w:cs="Times New Roman"/>
          <w:sz w:val="24"/>
          <w:szCs w:val="24"/>
          <w:lang w:val="en-GB"/>
        </w:rPr>
        <w:t>Gjokaj</w:t>
      </w:r>
      <w:proofErr w:type="spellEnd"/>
      <w:r w:rsidRPr="00E67E09">
        <w:rPr>
          <w:rFonts w:ascii="Times New Roman" w:eastAsia="Times New Roman" w:hAnsi="Times New Roman" w:cs="Times New Roman"/>
          <w:sz w:val="24"/>
          <w:szCs w:val="24"/>
          <w:lang w:val="en-GB"/>
        </w:rPr>
        <w:t>, E. (2017). Monitoring of agricultural policy developments in the Western Balkan countries (No. JRC105784). Joint Research Centre (Seville site).</w:t>
      </w:r>
    </w:p>
    <w:p w14:paraId="47F83035" w14:textId="7F3CEA59" w:rsidR="00E67E09" w:rsidRDefault="006079CD"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Z</w:t>
      </w:r>
      <w:r w:rsidRPr="006079CD">
        <w:rPr>
          <w:rFonts w:ascii="Times New Roman" w:eastAsia="Times New Roman" w:hAnsi="Times New Roman" w:cs="Times New Roman"/>
          <w:sz w:val="24"/>
          <w:szCs w:val="24"/>
          <w:lang w:val="en-GB"/>
        </w:rPr>
        <w:t>hao</w:t>
      </w:r>
      <w:r>
        <w:rPr>
          <w:rFonts w:ascii="Times New Roman" w:eastAsia="Times New Roman" w:hAnsi="Times New Roman" w:cs="Times New Roman"/>
          <w:sz w:val="24"/>
          <w:szCs w:val="24"/>
          <w:lang w:val="en-GB"/>
        </w:rPr>
        <w:t>,</w:t>
      </w:r>
      <w:r w:rsidRPr="006079CD">
        <w:rPr>
          <w:rFonts w:ascii="Times New Roman" w:eastAsia="Times New Roman" w:hAnsi="Times New Roman" w:cs="Times New Roman"/>
          <w:sz w:val="24"/>
          <w:szCs w:val="24"/>
          <w:lang w:val="en-GB"/>
        </w:rPr>
        <w:t xml:space="preserve"> Q</w:t>
      </w:r>
      <w:r>
        <w:rPr>
          <w:rFonts w:ascii="Times New Roman" w:eastAsia="Times New Roman" w:hAnsi="Times New Roman" w:cs="Times New Roman"/>
          <w:sz w:val="24"/>
          <w:szCs w:val="24"/>
          <w:lang w:val="en-GB"/>
        </w:rPr>
        <w:t>.</w:t>
      </w:r>
      <w:r w:rsidRPr="006079CD">
        <w:rPr>
          <w:rFonts w:ascii="Times New Roman" w:eastAsia="Times New Roman" w:hAnsi="Times New Roman" w:cs="Times New Roman"/>
          <w:sz w:val="24"/>
          <w:szCs w:val="24"/>
          <w:lang w:val="en-GB"/>
        </w:rPr>
        <w:t>, Small,</w:t>
      </w:r>
      <w:r>
        <w:rPr>
          <w:rFonts w:ascii="Times New Roman" w:eastAsia="Times New Roman" w:hAnsi="Times New Roman" w:cs="Times New Roman"/>
          <w:sz w:val="24"/>
          <w:szCs w:val="24"/>
          <w:lang w:val="en-GB"/>
        </w:rPr>
        <w:t xml:space="preserve"> D S.,</w:t>
      </w:r>
      <w:r w:rsidRPr="006079CD">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E</w:t>
      </w:r>
      <w:r w:rsidRPr="006079CD">
        <w:rPr>
          <w:rFonts w:ascii="Times New Roman" w:eastAsia="Times New Roman" w:hAnsi="Times New Roman" w:cs="Times New Roman"/>
          <w:sz w:val="24"/>
          <w:szCs w:val="24"/>
          <w:lang w:val="en-GB"/>
        </w:rPr>
        <w:t>rtefaie</w:t>
      </w:r>
      <w:proofErr w:type="spellEnd"/>
      <w:r>
        <w:rPr>
          <w:rFonts w:ascii="Times New Roman" w:eastAsia="Times New Roman" w:hAnsi="Times New Roman" w:cs="Times New Roman"/>
          <w:sz w:val="24"/>
          <w:szCs w:val="24"/>
          <w:lang w:val="en-GB"/>
        </w:rPr>
        <w:t>, A.</w:t>
      </w:r>
      <w:r w:rsidRPr="006079CD">
        <w:rPr>
          <w:rFonts w:ascii="Times New Roman" w:eastAsia="Times New Roman" w:hAnsi="Times New Roman" w:cs="Times New Roman"/>
          <w:sz w:val="24"/>
          <w:szCs w:val="24"/>
          <w:lang w:val="en-GB"/>
        </w:rPr>
        <w:t xml:space="preserve"> </w:t>
      </w:r>
      <w:r w:rsidR="00E67E09" w:rsidRPr="00E67E09">
        <w:rPr>
          <w:rFonts w:ascii="Times New Roman" w:eastAsia="Times New Roman" w:hAnsi="Times New Roman" w:cs="Times New Roman"/>
          <w:sz w:val="24"/>
          <w:szCs w:val="24"/>
          <w:lang w:val="en-GB"/>
        </w:rPr>
        <w:t>(2017)</w:t>
      </w:r>
      <w:r>
        <w:rPr>
          <w:rFonts w:ascii="Times New Roman" w:eastAsia="Times New Roman" w:hAnsi="Times New Roman" w:cs="Times New Roman"/>
          <w:sz w:val="24"/>
          <w:szCs w:val="24"/>
          <w:lang w:val="en-GB"/>
        </w:rPr>
        <w:t xml:space="preserve">. </w:t>
      </w:r>
      <w:r w:rsidR="00E67E09" w:rsidRPr="00E67E09">
        <w:rPr>
          <w:rFonts w:ascii="Times New Roman" w:eastAsia="Times New Roman" w:hAnsi="Times New Roman" w:cs="Times New Roman"/>
          <w:sz w:val="24"/>
          <w:szCs w:val="24"/>
          <w:lang w:val="en-GB"/>
        </w:rPr>
        <w:t xml:space="preserve"> </w:t>
      </w:r>
      <w:r w:rsidRPr="006079CD">
        <w:rPr>
          <w:rFonts w:ascii="Times New Roman" w:eastAsia="Times New Roman" w:hAnsi="Times New Roman" w:cs="Times New Roman"/>
          <w:sz w:val="24"/>
          <w:szCs w:val="24"/>
          <w:lang w:val="en-GB"/>
        </w:rPr>
        <w:t>Selective inference for effect modification via the lasso</w:t>
      </w:r>
      <w:r>
        <w:rPr>
          <w:rFonts w:ascii="Times New Roman" w:eastAsia="Times New Roman" w:hAnsi="Times New Roman" w:cs="Times New Roman"/>
          <w:sz w:val="24"/>
          <w:szCs w:val="24"/>
          <w:lang w:val="en-GB"/>
        </w:rPr>
        <w:t xml:space="preserve">. </w:t>
      </w:r>
      <w:r w:rsidRPr="006079CD">
        <w:rPr>
          <w:rFonts w:ascii="Times New Roman" w:eastAsia="Times New Roman" w:hAnsi="Times New Roman" w:cs="Times New Roman"/>
          <w:sz w:val="24"/>
          <w:szCs w:val="24"/>
          <w:lang w:val="en-GB"/>
        </w:rPr>
        <w:t>Journal of the Royal Statistical Society: Series B</w:t>
      </w:r>
      <w:r>
        <w:rPr>
          <w:rFonts w:ascii="Times New Roman" w:eastAsia="Times New Roman" w:hAnsi="Times New Roman" w:cs="Times New Roman"/>
          <w:sz w:val="24"/>
          <w:szCs w:val="24"/>
          <w:lang w:val="en-GB"/>
        </w:rPr>
        <w:t xml:space="preserve">. </w:t>
      </w:r>
      <w:hyperlink r:id="rId34" w:history="1">
        <w:r w:rsidRPr="00DC7C04">
          <w:rPr>
            <w:rStyle w:val="Hyperlink"/>
            <w:rFonts w:ascii="Times New Roman" w:eastAsia="Times New Roman" w:hAnsi="Times New Roman"/>
            <w:sz w:val="24"/>
            <w:szCs w:val="24"/>
            <w:lang w:val="en-GB"/>
          </w:rPr>
          <w:t>https://doi.org/10.48550/arXiv.1705.08020</w:t>
        </w:r>
      </w:hyperlink>
    </w:p>
    <w:p w14:paraId="5041DD79" w14:textId="175E43CA" w:rsidR="00EE620E" w:rsidRDefault="00E67E09" w:rsidP="00561FC0">
      <w:pPr>
        <w:pBdr>
          <w:top w:val="nil"/>
          <w:left w:val="nil"/>
          <w:bottom w:val="nil"/>
          <w:right w:val="nil"/>
          <w:between w:val="nil"/>
        </w:pBdr>
        <w:spacing w:before="60" w:after="60" w:line="276" w:lineRule="auto"/>
        <w:jc w:val="both"/>
        <w:rPr>
          <w:rFonts w:ascii="Times New Roman" w:eastAsia="Times New Roman" w:hAnsi="Times New Roman" w:cs="Times New Roman"/>
          <w:sz w:val="24"/>
          <w:szCs w:val="24"/>
          <w:lang w:val="en-GB"/>
        </w:rPr>
      </w:pPr>
      <w:r w:rsidRPr="00E67E09">
        <w:rPr>
          <w:rFonts w:ascii="Times New Roman" w:eastAsia="Times New Roman" w:hAnsi="Times New Roman" w:cs="Times New Roman"/>
          <w:sz w:val="24"/>
          <w:szCs w:val="24"/>
          <w:lang w:val="en-GB"/>
        </w:rPr>
        <w:t xml:space="preserve">Zhu, X., &amp; </w:t>
      </w:r>
      <w:proofErr w:type="spellStart"/>
      <w:r w:rsidRPr="00E67E09">
        <w:rPr>
          <w:rFonts w:ascii="Times New Roman" w:eastAsia="Times New Roman" w:hAnsi="Times New Roman" w:cs="Times New Roman"/>
          <w:sz w:val="24"/>
          <w:szCs w:val="24"/>
          <w:lang w:val="en-GB"/>
        </w:rPr>
        <w:t>Milán</w:t>
      </w:r>
      <w:proofErr w:type="spellEnd"/>
      <w:r w:rsidRPr="00E67E09">
        <w:rPr>
          <w:rFonts w:ascii="Times New Roman" w:eastAsia="Times New Roman" w:hAnsi="Times New Roman" w:cs="Times New Roman"/>
          <w:sz w:val="24"/>
          <w:szCs w:val="24"/>
          <w:lang w:val="en-GB"/>
        </w:rPr>
        <w:t xml:space="preserve"> Demeter, R. (2012). Technical efficiency and productivity differentials of dairy farms in three EU countries: the role of CAP subsidies. Agricultural Economics Review, 13(389-2016-23490), 66-92.</w:t>
      </w:r>
      <w:r w:rsidR="00EE620E" w:rsidRPr="00C7410A">
        <w:rPr>
          <w:rFonts w:ascii="Times New Roman" w:eastAsia="Times New Roman" w:hAnsi="Times New Roman" w:cs="Times New Roman"/>
          <w:sz w:val="24"/>
          <w:szCs w:val="24"/>
          <w:lang w:val="en-GB"/>
        </w:rPr>
        <w:t xml:space="preserve"> o</w:t>
      </w:r>
    </w:p>
    <w:p w14:paraId="117C4388" w14:textId="2CE366DF" w:rsidR="00EE620E" w:rsidRDefault="00EE620E" w:rsidP="00C273AC">
      <w:pPr>
        <w:rPr>
          <w:lang w:val="en-GB"/>
        </w:rPr>
      </w:pPr>
    </w:p>
    <w:p w14:paraId="2AEE5553" w14:textId="2ECF9438" w:rsidR="00993593" w:rsidRDefault="00993593" w:rsidP="00C273AC">
      <w:pPr>
        <w:rPr>
          <w:lang w:val="en-GB"/>
        </w:rPr>
      </w:pPr>
    </w:p>
    <w:p w14:paraId="6C760002" w14:textId="07210E79" w:rsidR="00993593" w:rsidRDefault="00993593" w:rsidP="00C273AC">
      <w:pPr>
        <w:rPr>
          <w:lang w:val="en-GB"/>
        </w:rPr>
      </w:pPr>
    </w:p>
    <w:p w14:paraId="1A34EF1B" w14:textId="106BCF4D" w:rsidR="00993593" w:rsidRDefault="00993593" w:rsidP="00EE620E">
      <w:pPr>
        <w:rPr>
          <w:lang w:val="en-GB"/>
        </w:rPr>
      </w:pPr>
    </w:p>
    <w:p w14:paraId="12FC692F" w14:textId="604B4C79" w:rsidR="00993593" w:rsidRDefault="00993593" w:rsidP="00EE620E">
      <w:pPr>
        <w:rPr>
          <w:lang w:val="en-GB"/>
        </w:rPr>
      </w:pPr>
    </w:p>
    <w:p w14:paraId="43C1AFEC" w14:textId="5E18FBF8" w:rsidR="00E67E09" w:rsidRDefault="00E67E09" w:rsidP="00EE620E">
      <w:pPr>
        <w:rPr>
          <w:lang w:val="en-GB"/>
        </w:rPr>
      </w:pPr>
    </w:p>
    <w:p w14:paraId="7F873FD1" w14:textId="6C3130BA" w:rsidR="00E67E09" w:rsidRDefault="00E67E09" w:rsidP="00EE620E">
      <w:pPr>
        <w:rPr>
          <w:lang w:val="en-GB"/>
        </w:rPr>
      </w:pPr>
    </w:p>
    <w:p w14:paraId="362750E6" w14:textId="5B037FE3" w:rsidR="00E67E09" w:rsidRDefault="00E67E09" w:rsidP="00EE620E">
      <w:pPr>
        <w:rPr>
          <w:lang w:val="en-GB"/>
        </w:rPr>
      </w:pPr>
    </w:p>
    <w:p w14:paraId="304E11A4" w14:textId="259CCC40" w:rsidR="00E67E09" w:rsidRDefault="00E67E09" w:rsidP="00EE620E">
      <w:pPr>
        <w:rPr>
          <w:lang w:val="en-GB"/>
        </w:rPr>
      </w:pPr>
    </w:p>
    <w:p w14:paraId="0B547258" w14:textId="65E269A8" w:rsidR="00E67E09" w:rsidRDefault="00E67E09" w:rsidP="00EE620E">
      <w:pPr>
        <w:rPr>
          <w:lang w:val="en-GB"/>
        </w:rPr>
      </w:pPr>
    </w:p>
    <w:p w14:paraId="39FC3CE1" w14:textId="68B2CC17" w:rsidR="00E67E09" w:rsidRDefault="00E67E09" w:rsidP="00EE620E">
      <w:pPr>
        <w:rPr>
          <w:lang w:val="en-GB"/>
        </w:rPr>
      </w:pPr>
    </w:p>
    <w:p w14:paraId="2E4C6C51" w14:textId="2EDA6FD5" w:rsidR="00E67E09" w:rsidRDefault="00E67E09" w:rsidP="00EE620E">
      <w:pPr>
        <w:rPr>
          <w:lang w:val="en-GB"/>
        </w:rPr>
      </w:pPr>
    </w:p>
    <w:p w14:paraId="0D011C7E" w14:textId="77777777" w:rsidR="00903354" w:rsidRDefault="00903354" w:rsidP="00EE620E">
      <w:pPr>
        <w:rPr>
          <w:lang w:val="en-GB"/>
        </w:rPr>
      </w:pPr>
    </w:p>
    <w:p w14:paraId="43695272" w14:textId="4FBB1A40" w:rsidR="00E67E09" w:rsidRDefault="00E67E09" w:rsidP="00EE620E">
      <w:pPr>
        <w:rPr>
          <w:lang w:val="en-GB"/>
        </w:rPr>
      </w:pPr>
    </w:p>
    <w:p w14:paraId="57EAF080" w14:textId="326E4C05" w:rsidR="00E67E09" w:rsidRDefault="00E67E09" w:rsidP="00EE620E">
      <w:pPr>
        <w:rPr>
          <w:lang w:val="en-GB"/>
        </w:rPr>
      </w:pPr>
    </w:p>
    <w:p w14:paraId="4C672B8A" w14:textId="77777777" w:rsidR="00E67E09" w:rsidRDefault="00E67E09" w:rsidP="00EE620E">
      <w:pPr>
        <w:rPr>
          <w:lang w:val="en-GB"/>
        </w:rPr>
      </w:pPr>
    </w:p>
    <w:p w14:paraId="02CE213D" w14:textId="77777777" w:rsidR="00993593" w:rsidRPr="00561FC0" w:rsidRDefault="00993593" w:rsidP="00561FC0">
      <w:pPr>
        <w:rPr>
          <w:lang w:val="en-GB"/>
        </w:rPr>
      </w:pPr>
    </w:p>
    <w:p w14:paraId="2A42D160" w14:textId="22B4701A" w:rsidR="001C38C8" w:rsidRPr="00561FC0" w:rsidRDefault="00EE620E" w:rsidP="001C38C8">
      <w:pPr>
        <w:numPr>
          <w:ilvl w:val="0"/>
          <w:numId w:val="6"/>
        </w:numPr>
        <w:spacing w:before="120" w:after="120" w:line="276" w:lineRule="auto"/>
        <w:jc w:val="both"/>
        <w:outlineLvl w:val="0"/>
        <w:rPr>
          <w:rFonts w:ascii="Times New Roman" w:eastAsia="Times New Roman" w:hAnsi="Times New Roman" w:cs="Times New Roman"/>
          <w:b/>
          <w:bCs/>
          <w:kern w:val="36"/>
          <w:sz w:val="28"/>
          <w:szCs w:val="28"/>
          <w:lang w:val="en-GB"/>
        </w:rPr>
      </w:pPr>
      <w:r w:rsidRPr="00EE620E">
        <w:rPr>
          <w:rFonts w:ascii="Times New Roman" w:eastAsia="Times New Roman" w:hAnsi="Times New Roman" w:cs="Times New Roman"/>
          <w:b/>
          <w:bCs/>
          <w:kern w:val="36"/>
          <w:sz w:val="28"/>
          <w:szCs w:val="28"/>
          <w:lang w:val="en-GB"/>
        </w:rPr>
        <w:lastRenderedPageBreak/>
        <w:t>Appendices</w:t>
      </w:r>
    </w:p>
    <w:p w14:paraId="3EFF1531" w14:textId="6E3A7395" w:rsidR="00227B62" w:rsidRDefault="00227B62" w:rsidP="007E1A5B">
      <w:pPr>
        <w:tabs>
          <w:tab w:val="left" w:pos="90"/>
        </w:tabs>
        <w:spacing w:line="240" w:lineRule="auto"/>
        <w:jc w:val="both"/>
        <w:rPr>
          <w:rFonts w:ascii="Times New Roman" w:hAnsi="Times New Roman" w:cs="Times New Roman"/>
          <w:sz w:val="36"/>
          <w:szCs w:val="36"/>
        </w:rPr>
      </w:pPr>
    </w:p>
    <w:p w14:paraId="341969A1" w14:textId="77777777" w:rsidR="00993593" w:rsidRDefault="00993593" w:rsidP="00993593">
      <w:r>
        <w:rPr>
          <w:noProof/>
        </w:rPr>
        <w:drawing>
          <wp:inline distT="0" distB="0" distL="0" distR="0" wp14:anchorId="214DDBB0" wp14:editId="42F1C568">
            <wp:extent cx="5943600" cy="644017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5943600" cy="6440170"/>
                    </a:xfrm>
                    <a:prstGeom prst="rect">
                      <a:avLst/>
                    </a:prstGeom>
                  </pic:spPr>
                </pic:pic>
              </a:graphicData>
            </a:graphic>
          </wp:inline>
        </w:drawing>
      </w:r>
    </w:p>
    <w:p w14:paraId="4DF606FA" w14:textId="77777777" w:rsidR="00993593" w:rsidRDefault="00993593" w:rsidP="00993593"/>
    <w:p w14:paraId="72767537" w14:textId="77777777" w:rsidR="00993593" w:rsidRPr="00561FC0" w:rsidRDefault="00993593" w:rsidP="00993593">
      <w:pPr>
        <w:rPr>
          <w:rFonts w:ascii="Times New Roman" w:hAnsi="Times New Roman" w:cs="Times New Roman"/>
          <w:sz w:val="24"/>
          <w:szCs w:val="24"/>
        </w:rPr>
      </w:pPr>
    </w:p>
    <w:p w14:paraId="457BBB5D" w14:textId="77777777" w:rsidR="00993593" w:rsidRPr="00561FC0" w:rsidRDefault="00993593" w:rsidP="00993593">
      <w:pPr>
        <w:rPr>
          <w:rFonts w:ascii="Times New Roman" w:hAnsi="Times New Roman" w:cs="Times New Roman"/>
          <w:sz w:val="24"/>
          <w:szCs w:val="24"/>
        </w:rPr>
      </w:pPr>
    </w:p>
    <w:p w14:paraId="36CFA658" w14:textId="77777777" w:rsidR="00993593" w:rsidRPr="00561FC0" w:rsidRDefault="00993593" w:rsidP="00993593">
      <w:pPr>
        <w:spacing w:after="0" w:line="480" w:lineRule="auto"/>
        <w:jc w:val="center"/>
        <w:rPr>
          <w:rFonts w:ascii="Times New Roman" w:eastAsia="SimSun" w:hAnsi="Times New Roman" w:cs="Times New Roman"/>
          <w:b/>
          <w:bCs/>
          <w:kern w:val="24"/>
          <w:sz w:val="24"/>
          <w:szCs w:val="24"/>
          <w:lang w:eastAsia="ja-JP"/>
        </w:rPr>
      </w:pPr>
      <w:r w:rsidRPr="00561FC0">
        <w:rPr>
          <w:rFonts w:ascii="Times New Roman" w:eastAsia="SimSun" w:hAnsi="Times New Roman" w:cs="Times New Roman"/>
          <w:b/>
          <w:bCs/>
          <w:kern w:val="24"/>
          <w:sz w:val="24"/>
          <w:szCs w:val="24"/>
          <w:lang w:eastAsia="ja-JP"/>
        </w:rPr>
        <w:lastRenderedPageBreak/>
        <w:t>Table 3: Sample imbalance statistics</w:t>
      </w:r>
    </w:p>
    <w:tbl>
      <w:tblPr>
        <w:tblStyle w:val="APAReport1"/>
        <w:tblW w:w="0" w:type="auto"/>
        <w:tblLook w:val="04A0" w:firstRow="1" w:lastRow="0" w:firstColumn="1" w:lastColumn="0" w:noHBand="0" w:noVBand="1"/>
      </w:tblPr>
      <w:tblGrid>
        <w:gridCol w:w="4032"/>
        <w:gridCol w:w="864"/>
        <w:gridCol w:w="1296"/>
        <w:gridCol w:w="636"/>
        <w:gridCol w:w="1296"/>
        <w:gridCol w:w="636"/>
      </w:tblGrid>
      <w:tr w:rsidR="00993593" w:rsidRPr="00993593" w14:paraId="42879BF5" w14:textId="77777777" w:rsidTr="00374ACF">
        <w:trPr>
          <w:cnfStyle w:val="100000000000" w:firstRow="1" w:lastRow="0" w:firstColumn="0" w:lastColumn="0" w:oddVBand="0" w:evenVBand="0" w:oddHBand="0" w:evenHBand="0" w:firstRowFirstColumn="0" w:firstRowLastColumn="0" w:lastRowFirstColumn="0" w:lastRowLastColumn="0"/>
          <w:trHeight w:val="315"/>
        </w:trPr>
        <w:tc>
          <w:tcPr>
            <w:tcW w:w="4032" w:type="dxa"/>
            <w:noWrap/>
            <w:hideMark/>
          </w:tcPr>
          <w:p w14:paraId="572D435A" w14:textId="77777777" w:rsidR="00993593" w:rsidRPr="00993593" w:rsidRDefault="00993593" w:rsidP="00374ACF">
            <w:pPr>
              <w:rPr>
                <w:rFonts w:cs="Times New Roman"/>
                <w:kern w:val="24"/>
              </w:rPr>
            </w:pPr>
          </w:p>
        </w:tc>
        <w:tc>
          <w:tcPr>
            <w:tcW w:w="864" w:type="dxa"/>
            <w:noWrap/>
            <w:hideMark/>
          </w:tcPr>
          <w:p w14:paraId="7E7DB52C" w14:textId="77777777" w:rsidR="00993593" w:rsidRPr="00993593" w:rsidRDefault="00993593" w:rsidP="00374ACF">
            <w:pPr>
              <w:jc w:val="center"/>
              <w:rPr>
                <w:rFonts w:cs="Times New Roman"/>
                <w:kern w:val="24"/>
              </w:rPr>
            </w:pPr>
          </w:p>
        </w:tc>
        <w:tc>
          <w:tcPr>
            <w:tcW w:w="1932" w:type="dxa"/>
            <w:gridSpan w:val="2"/>
            <w:noWrap/>
            <w:hideMark/>
          </w:tcPr>
          <w:p w14:paraId="379C6540" w14:textId="77777777" w:rsidR="00993593" w:rsidRPr="00993593" w:rsidRDefault="00993593" w:rsidP="00374ACF">
            <w:pPr>
              <w:jc w:val="center"/>
              <w:rPr>
                <w:rFonts w:cs="Times New Roman"/>
                <w:kern w:val="24"/>
              </w:rPr>
            </w:pPr>
            <w:r w:rsidRPr="00993593">
              <w:rPr>
                <w:rFonts w:cs="Times New Roman"/>
                <w:kern w:val="24"/>
              </w:rPr>
              <w:t>Prior to Matching</w:t>
            </w:r>
          </w:p>
        </w:tc>
        <w:tc>
          <w:tcPr>
            <w:tcW w:w="1932" w:type="dxa"/>
            <w:gridSpan w:val="2"/>
            <w:noWrap/>
            <w:hideMark/>
          </w:tcPr>
          <w:p w14:paraId="05E5234B" w14:textId="77777777" w:rsidR="00993593" w:rsidRPr="00993593" w:rsidRDefault="00993593" w:rsidP="00374ACF">
            <w:pPr>
              <w:jc w:val="center"/>
              <w:rPr>
                <w:rFonts w:cs="Times New Roman"/>
                <w:kern w:val="24"/>
              </w:rPr>
            </w:pPr>
            <w:r w:rsidRPr="00993593">
              <w:rPr>
                <w:rFonts w:cs="Times New Roman"/>
                <w:kern w:val="24"/>
              </w:rPr>
              <w:t>After Matching</w:t>
            </w:r>
          </w:p>
        </w:tc>
      </w:tr>
      <w:tr w:rsidR="00993593" w:rsidRPr="00993593" w14:paraId="226F35CE" w14:textId="77777777" w:rsidTr="00374ACF">
        <w:trPr>
          <w:trHeight w:val="432"/>
        </w:trPr>
        <w:tc>
          <w:tcPr>
            <w:tcW w:w="4032" w:type="dxa"/>
            <w:noWrap/>
          </w:tcPr>
          <w:p w14:paraId="6776EA2E" w14:textId="77777777" w:rsidR="00993593" w:rsidRPr="00561FC0" w:rsidRDefault="00993593" w:rsidP="00374ACF">
            <w:pPr>
              <w:rPr>
                <w:rFonts w:ascii="Times New Roman" w:hAnsi="Times New Roman" w:cs="Times New Roman"/>
                <w:kern w:val="24"/>
              </w:rPr>
            </w:pPr>
          </w:p>
        </w:tc>
        <w:tc>
          <w:tcPr>
            <w:tcW w:w="864" w:type="dxa"/>
            <w:noWrap/>
            <w:vAlign w:val="center"/>
          </w:tcPr>
          <w:p w14:paraId="5802E14B" w14:textId="77777777" w:rsidR="00993593" w:rsidRPr="00561FC0" w:rsidRDefault="00993593" w:rsidP="00374ACF">
            <w:pPr>
              <w:jc w:val="center"/>
              <w:rPr>
                <w:rFonts w:ascii="Times New Roman" w:hAnsi="Times New Roman" w:cs="Times New Roman"/>
                <w:b/>
                <w:bCs/>
                <w:kern w:val="24"/>
              </w:rPr>
            </w:pPr>
            <w:r w:rsidRPr="00561FC0">
              <w:rPr>
                <w:rFonts w:ascii="Times New Roman" w:hAnsi="Times New Roman" w:cs="Times New Roman"/>
                <w:b/>
                <w:bCs/>
                <w:kern w:val="24"/>
              </w:rPr>
              <w:t>type</w:t>
            </w:r>
          </w:p>
        </w:tc>
        <w:tc>
          <w:tcPr>
            <w:tcW w:w="1296" w:type="dxa"/>
            <w:noWrap/>
            <w:vAlign w:val="center"/>
          </w:tcPr>
          <w:p w14:paraId="0189DA62" w14:textId="77777777" w:rsidR="00993593" w:rsidRPr="00561FC0" w:rsidRDefault="00993593" w:rsidP="00374ACF">
            <w:pPr>
              <w:jc w:val="center"/>
              <w:rPr>
                <w:rFonts w:ascii="Times New Roman" w:hAnsi="Times New Roman" w:cs="Times New Roman"/>
                <w:b/>
                <w:bCs/>
                <w:kern w:val="24"/>
              </w:rPr>
            </w:pPr>
            <w:r w:rsidRPr="00561FC0">
              <w:rPr>
                <w:rFonts w:ascii="Times New Roman" w:hAnsi="Times New Roman" w:cs="Times New Roman"/>
                <w:b/>
                <w:bCs/>
                <w:kern w:val="24"/>
              </w:rPr>
              <w:t>statistic</w:t>
            </w:r>
          </w:p>
        </w:tc>
        <w:tc>
          <w:tcPr>
            <w:tcW w:w="636" w:type="dxa"/>
            <w:noWrap/>
            <w:vAlign w:val="center"/>
          </w:tcPr>
          <w:p w14:paraId="208B96CE" w14:textId="77777777" w:rsidR="00993593" w:rsidRPr="00561FC0" w:rsidRDefault="00993593" w:rsidP="00374ACF">
            <w:pPr>
              <w:jc w:val="center"/>
              <w:rPr>
                <w:rFonts w:ascii="Times New Roman" w:hAnsi="Times New Roman" w:cs="Times New Roman"/>
                <w:b/>
                <w:bCs/>
                <w:kern w:val="24"/>
              </w:rPr>
            </w:pPr>
            <w:r w:rsidRPr="00561FC0">
              <w:rPr>
                <w:rFonts w:ascii="Times New Roman" w:hAnsi="Times New Roman" w:cs="Times New Roman"/>
                <w:b/>
                <w:bCs/>
                <w:kern w:val="24"/>
              </w:rPr>
              <w:t>L1</w:t>
            </w:r>
          </w:p>
        </w:tc>
        <w:tc>
          <w:tcPr>
            <w:tcW w:w="1296" w:type="dxa"/>
            <w:noWrap/>
            <w:vAlign w:val="center"/>
          </w:tcPr>
          <w:p w14:paraId="26250EF7" w14:textId="77777777" w:rsidR="00993593" w:rsidRPr="00561FC0" w:rsidRDefault="00993593" w:rsidP="00374ACF">
            <w:pPr>
              <w:jc w:val="center"/>
              <w:rPr>
                <w:rFonts w:ascii="Times New Roman" w:hAnsi="Times New Roman" w:cs="Times New Roman"/>
                <w:b/>
                <w:bCs/>
                <w:kern w:val="24"/>
              </w:rPr>
            </w:pPr>
            <w:r w:rsidRPr="00561FC0">
              <w:rPr>
                <w:rFonts w:ascii="Times New Roman" w:hAnsi="Times New Roman" w:cs="Times New Roman"/>
                <w:b/>
                <w:bCs/>
                <w:kern w:val="24"/>
              </w:rPr>
              <w:t>statistic</w:t>
            </w:r>
          </w:p>
        </w:tc>
        <w:tc>
          <w:tcPr>
            <w:tcW w:w="636" w:type="dxa"/>
            <w:noWrap/>
            <w:vAlign w:val="center"/>
          </w:tcPr>
          <w:p w14:paraId="76BBEC90" w14:textId="77777777" w:rsidR="00993593" w:rsidRPr="00561FC0" w:rsidRDefault="00993593" w:rsidP="00374ACF">
            <w:pPr>
              <w:jc w:val="center"/>
              <w:rPr>
                <w:rFonts w:ascii="Times New Roman" w:hAnsi="Times New Roman" w:cs="Times New Roman"/>
                <w:b/>
                <w:bCs/>
                <w:kern w:val="24"/>
              </w:rPr>
            </w:pPr>
            <w:r w:rsidRPr="00561FC0">
              <w:rPr>
                <w:rFonts w:ascii="Times New Roman" w:hAnsi="Times New Roman" w:cs="Times New Roman"/>
                <w:b/>
                <w:bCs/>
                <w:kern w:val="24"/>
              </w:rPr>
              <w:t>L1</w:t>
            </w:r>
          </w:p>
        </w:tc>
      </w:tr>
      <w:tr w:rsidR="00993593" w:rsidRPr="00993593" w14:paraId="5E355561" w14:textId="77777777" w:rsidTr="00374ACF">
        <w:trPr>
          <w:trHeight w:val="360"/>
        </w:trPr>
        <w:tc>
          <w:tcPr>
            <w:tcW w:w="4032" w:type="dxa"/>
            <w:hideMark/>
          </w:tcPr>
          <w:p w14:paraId="1F6FE7D8" w14:textId="77777777" w:rsidR="00993593" w:rsidRPr="00561FC0" w:rsidRDefault="00993593" w:rsidP="00374ACF">
            <w:pPr>
              <w:rPr>
                <w:rFonts w:ascii="Times New Roman" w:hAnsi="Times New Roman" w:cs="Times New Roman"/>
                <w:kern w:val="24"/>
              </w:rPr>
            </w:pPr>
            <w:r w:rsidRPr="00561FC0">
              <w:rPr>
                <w:rFonts w:ascii="Times New Roman" w:hAnsi="Times New Roman" w:cs="Times New Roman"/>
                <w:kern w:val="24"/>
              </w:rPr>
              <w:t>Farmers' Age</w:t>
            </w:r>
          </w:p>
        </w:tc>
        <w:tc>
          <w:tcPr>
            <w:tcW w:w="864" w:type="dxa"/>
            <w:noWrap/>
            <w:hideMark/>
          </w:tcPr>
          <w:p w14:paraId="231E124D"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(diff)</w:t>
            </w:r>
          </w:p>
        </w:tc>
        <w:tc>
          <w:tcPr>
            <w:tcW w:w="1296" w:type="dxa"/>
            <w:noWrap/>
            <w:hideMark/>
          </w:tcPr>
          <w:p w14:paraId="53B0DCBA"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-6.45</w:t>
            </w:r>
          </w:p>
        </w:tc>
        <w:tc>
          <w:tcPr>
            <w:tcW w:w="636" w:type="dxa"/>
            <w:noWrap/>
            <w:hideMark/>
          </w:tcPr>
          <w:p w14:paraId="4310B3B9"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c>
          <w:tcPr>
            <w:tcW w:w="1296" w:type="dxa"/>
            <w:noWrap/>
            <w:hideMark/>
          </w:tcPr>
          <w:p w14:paraId="72CB861D"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0.14</w:t>
            </w:r>
          </w:p>
        </w:tc>
        <w:tc>
          <w:tcPr>
            <w:tcW w:w="636" w:type="dxa"/>
            <w:noWrap/>
            <w:hideMark/>
          </w:tcPr>
          <w:p w14:paraId="04E4F270"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r>
      <w:tr w:rsidR="00993593" w:rsidRPr="00993593" w14:paraId="30213614" w14:textId="77777777" w:rsidTr="00374ACF">
        <w:trPr>
          <w:trHeight w:val="360"/>
        </w:trPr>
        <w:tc>
          <w:tcPr>
            <w:tcW w:w="4032" w:type="dxa"/>
            <w:hideMark/>
          </w:tcPr>
          <w:p w14:paraId="3F1947E6" w14:textId="77777777" w:rsidR="00993593" w:rsidRPr="00561FC0" w:rsidRDefault="00993593" w:rsidP="00374ACF">
            <w:pPr>
              <w:rPr>
                <w:rFonts w:ascii="Times New Roman" w:hAnsi="Times New Roman" w:cs="Times New Roman"/>
                <w:kern w:val="24"/>
              </w:rPr>
            </w:pPr>
            <w:r w:rsidRPr="00561FC0">
              <w:rPr>
                <w:rFonts w:ascii="Times New Roman" w:hAnsi="Times New Roman" w:cs="Times New Roman"/>
                <w:kern w:val="24"/>
              </w:rPr>
              <w:t>Farm size area</w:t>
            </w:r>
          </w:p>
        </w:tc>
        <w:tc>
          <w:tcPr>
            <w:tcW w:w="864" w:type="dxa"/>
            <w:noWrap/>
            <w:hideMark/>
          </w:tcPr>
          <w:p w14:paraId="47E81E57"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(diff)</w:t>
            </w:r>
          </w:p>
        </w:tc>
        <w:tc>
          <w:tcPr>
            <w:tcW w:w="1296" w:type="dxa"/>
            <w:noWrap/>
            <w:hideMark/>
          </w:tcPr>
          <w:p w14:paraId="2EE0DD01"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-3.66</w:t>
            </w:r>
          </w:p>
        </w:tc>
        <w:tc>
          <w:tcPr>
            <w:tcW w:w="636" w:type="dxa"/>
            <w:noWrap/>
            <w:hideMark/>
          </w:tcPr>
          <w:p w14:paraId="038B2A56"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0.01</w:t>
            </w:r>
          </w:p>
        </w:tc>
        <w:tc>
          <w:tcPr>
            <w:tcW w:w="1296" w:type="dxa"/>
            <w:noWrap/>
            <w:hideMark/>
          </w:tcPr>
          <w:p w14:paraId="0CE3D6D9"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-0.58</w:t>
            </w:r>
          </w:p>
        </w:tc>
        <w:tc>
          <w:tcPr>
            <w:tcW w:w="636" w:type="dxa"/>
            <w:noWrap/>
            <w:hideMark/>
          </w:tcPr>
          <w:p w14:paraId="1BB5FFC0"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r>
      <w:tr w:rsidR="00993593" w:rsidRPr="00993593" w14:paraId="137D6EA3" w14:textId="77777777" w:rsidTr="00374ACF">
        <w:trPr>
          <w:trHeight w:val="360"/>
        </w:trPr>
        <w:tc>
          <w:tcPr>
            <w:tcW w:w="4032" w:type="dxa"/>
            <w:hideMark/>
          </w:tcPr>
          <w:p w14:paraId="05246221" w14:textId="77777777" w:rsidR="00993593" w:rsidRPr="00561FC0" w:rsidRDefault="00993593" w:rsidP="00374ACF">
            <w:pPr>
              <w:rPr>
                <w:rFonts w:ascii="Times New Roman" w:hAnsi="Times New Roman" w:cs="Times New Roman"/>
                <w:kern w:val="24"/>
              </w:rPr>
            </w:pPr>
            <w:r w:rsidRPr="00561FC0">
              <w:rPr>
                <w:rFonts w:ascii="Times New Roman" w:hAnsi="Times New Roman" w:cs="Times New Roman"/>
                <w:kern w:val="24"/>
              </w:rPr>
              <w:t>Keep notes &amp; Calc. prod cost (Y/N)</w:t>
            </w:r>
          </w:p>
        </w:tc>
        <w:tc>
          <w:tcPr>
            <w:tcW w:w="864" w:type="dxa"/>
            <w:noWrap/>
            <w:hideMark/>
          </w:tcPr>
          <w:p w14:paraId="5FD53CB1"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(diff)</w:t>
            </w:r>
          </w:p>
        </w:tc>
        <w:tc>
          <w:tcPr>
            <w:tcW w:w="1296" w:type="dxa"/>
            <w:noWrap/>
            <w:hideMark/>
          </w:tcPr>
          <w:p w14:paraId="12862EB1"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0.06</w:t>
            </w:r>
          </w:p>
        </w:tc>
        <w:tc>
          <w:tcPr>
            <w:tcW w:w="636" w:type="dxa"/>
            <w:noWrap/>
            <w:hideMark/>
          </w:tcPr>
          <w:p w14:paraId="40B9EE5A"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0.06</w:t>
            </w:r>
          </w:p>
        </w:tc>
        <w:tc>
          <w:tcPr>
            <w:tcW w:w="1296" w:type="dxa"/>
            <w:noWrap/>
            <w:hideMark/>
          </w:tcPr>
          <w:p w14:paraId="37F9D96C"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c>
          <w:tcPr>
            <w:tcW w:w="636" w:type="dxa"/>
            <w:noWrap/>
            <w:hideMark/>
          </w:tcPr>
          <w:p w14:paraId="0716DF33"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r>
      <w:tr w:rsidR="00993593" w:rsidRPr="00993593" w14:paraId="24718DC0" w14:textId="77777777" w:rsidTr="00374ACF">
        <w:trPr>
          <w:trHeight w:val="360"/>
        </w:trPr>
        <w:tc>
          <w:tcPr>
            <w:tcW w:w="4032" w:type="dxa"/>
            <w:hideMark/>
          </w:tcPr>
          <w:p w14:paraId="4E0A2527" w14:textId="77777777" w:rsidR="00993593" w:rsidRPr="00561FC0" w:rsidRDefault="00993593" w:rsidP="00374ACF">
            <w:pPr>
              <w:rPr>
                <w:rFonts w:ascii="Times New Roman" w:hAnsi="Times New Roman" w:cs="Times New Roman"/>
                <w:kern w:val="24"/>
              </w:rPr>
            </w:pPr>
            <w:r w:rsidRPr="00561FC0">
              <w:rPr>
                <w:rFonts w:ascii="Times New Roman" w:hAnsi="Times New Roman" w:cs="Times New Roman"/>
                <w:kern w:val="24"/>
              </w:rPr>
              <w:t>Registration with Tax authorities (Y/N)</w:t>
            </w:r>
          </w:p>
        </w:tc>
        <w:tc>
          <w:tcPr>
            <w:tcW w:w="864" w:type="dxa"/>
            <w:noWrap/>
            <w:hideMark/>
          </w:tcPr>
          <w:p w14:paraId="76401D02"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(diff)</w:t>
            </w:r>
          </w:p>
        </w:tc>
        <w:tc>
          <w:tcPr>
            <w:tcW w:w="1296" w:type="dxa"/>
            <w:noWrap/>
            <w:hideMark/>
          </w:tcPr>
          <w:p w14:paraId="14A5DFBF"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-0.02</w:t>
            </w:r>
          </w:p>
        </w:tc>
        <w:tc>
          <w:tcPr>
            <w:tcW w:w="636" w:type="dxa"/>
            <w:noWrap/>
            <w:hideMark/>
          </w:tcPr>
          <w:p w14:paraId="3A856C57"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0.02</w:t>
            </w:r>
          </w:p>
        </w:tc>
        <w:tc>
          <w:tcPr>
            <w:tcW w:w="1296" w:type="dxa"/>
            <w:noWrap/>
            <w:hideMark/>
          </w:tcPr>
          <w:p w14:paraId="2B9A2A29"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c>
          <w:tcPr>
            <w:tcW w:w="636" w:type="dxa"/>
            <w:noWrap/>
            <w:hideMark/>
          </w:tcPr>
          <w:p w14:paraId="54503797"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r>
      <w:tr w:rsidR="00993593" w:rsidRPr="00993593" w14:paraId="54389753" w14:textId="77777777" w:rsidTr="00374ACF">
        <w:trPr>
          <w:trHeight w:val="360"/>
        </w:trPr>
        <w:tc>
          <w:tcPr>
            <w:tcW w:w="4032" w:type="dxa"/>
            <w:hideMark/>
          </w:tcPr>
          <w:p w14:paraId="3357B5D3" w14:textId="77777777" w:rsidR="00993593" w:rsidRPr="00561FC0" w:rsidRDefault="00993593" w:rsidP="00374ACF">
            <w:pPr>
              <w:rPr>
                <w:rFonts w:ascii="Times New Roman" w:hAnsi="Times New Roman" w:cs="Times New Roman"/>
                <w:kern w:val="24"/>
              </w:rPr>
            </w:pPr>
            <w:r w:rsidRPr="00561FC0">
              <w:rPr>
                <w:rFonts w:ascii="Times New Roman" w:hAnsi="Times New Roman" w:cs="Times New Roman"/>
                <w:kern w:val="24"/>
              </w:rPr>
              <w:t>Family size</w:t>
            </w:r>
          </w:p>
        </w:tc>
        <w:tc>
          <w:tcPr>
            <w:tcW w:w="864" w:type="dxa"/>
            <w:noWrap/>
            <w:hideMark/>
          </w:tcPr>
          <w:p w14:paraId="46E72689"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(diff)</w:t>
            </w:r>
          </w:p>
        </w:tc>
        <w:tc>
          <w:tcPr>
            <w:tcW w:w="1296" w:type="dxa"/>
            <w:noWrap/>
            <w:hideMark/>
          </w:tcPr>
          <w:p w14:paraId="2CBE292B"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-0.09</w:t>
            </w:r>
          </w:p>
        </w:tc>
        <w:tc>
          <w:tcPr>
            <w:tcW w:w="636" w:type="dxa"/>
            <w:noWrap/>
            <w:hideMark/>
          </w:tcPr>
          <w:p w14:paraId="163E1078"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0.06</w:t>
            </w:r>
          </w:p>
        </w:tc>
        <w:tc>
          <w:tcPr>
            <w:tcW w:w="1296" w:type="dxa"/>
            <w:noWrap/>
            <w:hideMark/>
          </w:tcPr>
          <w:p w14:paraId="660A87C2"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c>
          <w:tcPr>
            <w:tcW w:w="636" w:type="dxa"/>
            <w:noWrap/>
            <w:hideMark/>
          </w:tcPr>
          <w:p w14:paraId="3D071836"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r>
      <w:tr w:rsidR="00993593" w:rsidRPr="00993593" w14:paraId="418FB79D" w14:textId="77777777" w:rsidTr="00374ACF">
        <w:trPr>
          <w:trHeight w:val="360"/>
        </w:trPr>
        <w:tc>
          <w:tcPr>
            <w:tcW w:w="4032" w:type="dxa"/>
            <w:hideMark/>
          </w:tcPr>
          <w:p w14:paraId="1A121E7A" w14:textId="77777777" w:rsidR="00993593" w:rsidRPr="00561FC0" w:rsidRDefault="00993593" w:rsidP="00374ACF">
            <w:pPr>
              <w:rPr>
                <w:rFonts w:ascii="Times New Roman" w:hAnsi="Times New Roman" w:cs="Times New Roman"/>
                <w:kern w:val="24"/>
              </w:rPr>
            </w:pPr>
            <w:r w:rsidRPr="00561FC0">
              <w:rPr>
                <w:rFonts w:ascii="Times New Roman" w:hAnsi="Times New Roman" w:cs="Times New Roman"/>
                <w:kern w:val="24"/>
              </w:rPr>
              <w:t>Farmers' Education</w:t>
            </w:r>
          </w:p>
        </w:tc>
        <w:tc>
          <w:tcPr>
            <w:tcW w:w="864" w:type="dxa"/>
            <w:noWrap/>
            <w:hideMark/>
          </w:tcPr>
          <w:p w14:paraId="4427E132"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(diff)</w:t>
            </w:r>
          </w:p>
        </w:tc>
        <w:tc>
          <w:tcPr>
            <w:tcW w:w="1296" w:type="dxa"/>
            <w:noWrap/>
            <w:hideMark/>
          </w:tcPr>
          <w:p w14:paraId="48F721D1"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-0.38</w:t>
            </w:r>
          </w:p>
        </w:tc>
        <w:tc>
          <w:tcPr>
            <w:tcW w:w="636" w:type="dxa"/>
            <w:noWrap/>
            <w:hideMark/>
          </w:tcPr>
          <w:p w14:paraId="4BD922EC"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0.26</w:t>
            </w:r>
          </w:p>
        </w:tc>
        <w:tc>
          <w:tcPr>
            <w:tcW w:w="1296" w:type="dxa"/>
            <w:noWrap/>
            <w:hideMark/>
          </w:tcPr>
          <w:p w14:paraId="641D82F6"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c>
          <w:tcPr>
            <w:tcW w:w="636" w:type="dxa"/>
            <w:noWrap/>
            <w:hideMark/>
          </w:tcPr>
          <w:p w14:paraId="5B35FF4B"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r>
      <w:tr w:rsidR="00993593" w:rsidRPr="00993593" w14:paraId="7C7400B0" w14:textId="77777777" w:rsidTr="00374ACF">
        <w:trPr>
          <w:trHeight w:val="360"/>
        </w:trPr>
        <w:tc>
          <w:tcPr>
            <w:tcW w:w="4032" w:type="dxa"/>
            <w:hideMark/>
          </w:tcPr>
          <w:p w14:paraId="4183D3EF" w14:textId="77777777" w:rsidR="00993593" w:rsidRPr="00561FC0" w:rsidRDefault="00993593" w:rsidP="00374ACF">
            <w:pPr>
              <w:rPr>
                <w:rFonts w:ascii="Times New Roman" w:hAnsi="Times New Roman" w:cs="Times New Roman"/>
                <w:kern w:val="24"/>
              </w:rPr>
            </w:pPr>
            <w:r w:rsidRPr="00561FC0">
              <w:rPr>
                <w:rFonts w:ascii="Times New Roman" w:hAnsi="Times New Roman" w:cs="Times New Roman"/>
                <w:kern w:val="24"/>
              </w:rPr>
              <w:t>Intermediary advice (Y/N)</w:t>
            </w:r>
          </w:p>
        </w:tc>
        <w:tc>
          <w:tcPr>
            <w:tcW w:w="864" w:type="dxa"/>
            <w:noWrap/>
            <w:hideMark/>
          </w:tcPr>
          <w:p w14:paraId="79663FC1"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(diff)</w:t>
            </w:r>
          </w:p>
        </w:tc>
        <w:tc>
          <w:tcPr>
            <w:tcW w:w="1296" w:type="dxa"/>
            <w:noWrap/>
            <w:hideMark/>
          </w:tcPr>
          <w:p w14:paraId="62A8B756"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-0.12</w:t>
            </w:r>
          </w:p>
        </w:tc>
        <w:tc>
          <w:tcPr>
            <w:tcW w:w="636" w:type="dxa"/>
            <w:noWrap/>
            <w:hideMark/>
          </w:tcPr>
          <w:p w14:paraId="7D8E518E"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0.12</w:t>
            </w:r>
          </w:p>
        </w:tc>
        <w:tc>
          <w:tcPr>
            <w:tcW w:w="1296" w:type="dxa"/>
            <w:noWrap/>
            <w:hideMark/>
          </w:tcPr>
          <w:p w14:paraId="57DBA354"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c>
          <w:tcPr>
            <w:tcW w:w="636" w:type="dxa"/>
            <w:noWrap/>
            <w:hideMark/>
          </w:tcPr>
          <w:p w14:paraId="2015B957" w14:textId="77777777" w:rsidR="00993593" w:rsidRPr="00561FC0" w:rsidRDefault="00993593" w:rsidP="00374ACF">
            <w:pPr>
              <w:jc w:val="center"/>
              <w:rPr>
                <w:rFonts w:ascii="Times New Roman" w:hAnsi="Times New Roman" w:cs="Times New Roman"/>
                <w:kern w:val="24"/>
              </w:rPr>
            </w:pPr>
            <w:r w:rsidRPr="00561FC0">
              <w:rPr>
                <w:rFonts w:ascii="Times New Roman" w:hAnsi="Times New Roman" w:cs="Times New Roman"/>
                <w:kern w:val="24"/>
              </w:rPr>
              <w:t>0.00</w:t>
            </w:r>
          </w:p>
        </w:tc>
      </w:tr>
    </w:tbl>
    <w:p w14:paraId="094B6816" w14:textId="77777777" w:rsidR="00993593" w:rsidRPr="00561FC0" w:rsidRDefault="00993593" w:rsidP="00993593">
      <w:pPr>
        <w:spacing w:after="0" w:line="240" w:lineRule="auto"/>
        <w:rPr>
          <w:rFonts w:ascii="Times New Roman" w:eastAsia="SimSun" w:hAnsi="Times New Roman" w:cs="Times New Roman"/>
          <w:kern w:val="24"/>
          <w:sz w:val="24"/>
          <w:szCs w:val="24"/>
          <w:lang w:eastAsia="ja-JP"/>
        </w:rPr>
      </w:pPr>
      <w:r w:rsidRPr="00561FC0">
        <w:rPr>
          <w:rFonts w:ascii="Times New Roman" w:eastAsia="SimSun" w:hAnsi="Times New Roman" w:cs="Times New Roman"/>
          <w:kern w:val="24"/>
          <w:sz w:val="24"/>
          <w:szCs w:val="24"/>
          <w:lang w:eastAsia="ja-JP"/>
        </w:rPr>
        <w:t>Note: Prior to matching – Multivariate Imbalance Measure: L1=0.885 &amp; Percentage of local common support: LCS=6.6%; After Matching – Multivariate Imbalance Measure: L1=0.508</w:t>
      </w:r>
    </w:p>
    <w:p w14:paraId="2CE4C91E" w14:textId="77777777" w:rsidR="00993593" w:rsidRPr="00561FC0" w:rsidRDefault="00993593" w:rsidP="00993593">
      <w:pPr>
        <w:spacing w:after="0" w:line="240" w:lineRule="auto"/>
        <w:rPr>
          <w:rFonts w:ascii="Times New Roman" w:eastAsia="SimSun" w:hAnsi="Times New Roman" w:cs="Times New Roman"/>
          <w:kern w:val="24"/>
          <w:sz w:val="24"/>
          <w:szCs w:val="24"/>
          <w:lang w:eastAsia="ja-JP"/>
        </w:rPr>
      </w:pPr>
      <w:r w:rsidRPr="00561FC0">
        <w:rPr>
          <w:rFonts w:ascii="Times New Roman" w:eastAsia="SimSun" w:hAnsi="Times New Roman" w:cs="Times New Roman"/>
          <w:kern w:val="24"/>
          <w:sz w:val="24"/>
          <w:szCs w:val="24"/>
          <w:lang w:eastAsia="ja-JP"/>
        </w:rPr>
        <w:t xml:space="preserve">Percentage of local common support: LCS=30.4% </w:t>
      </w:r>
    </w:p>
    <w:p w14:paraId="6004556B" w14:textId="77777777" w:rsidR="00993593" w:rsidRPr="00561FC0" w:rsidRDefault="00993593" w:rsidP="00993593">
      <w:pPr>
        <w:rPr>
          <w:rFonts w:ascii="Times New Roman" w:hAnsi="Times New Roman" w:cs="Times New Roman"/>
          <w:sz w:val="24"/>
          <w:szCs w:val="24"/>
        </w:rPr>
      </w:pPr>
    </w:p>
    <w:p w14:paraId="5371138A" w14:textId="77777777" w:rsidR="00993593" w:rsidRPr="00561FC0" w:rsidRDefault="00993593" w:rsidP="00561FC0">
      <w:pPr>
        <w:rPr>
          <w:rFonts w:ascii="Times New Roman" w:hAnsi="Times New Roman" w:cs="Times New Roman"/>
          <w:sz w:val="24"/>
          <w:szCs w:val="24"/>
        </w:rPr>
      </w:pPr>
    </w:p>
    <w:sectPr w:rsidR="00993593" w:rsidRPr="00561F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AF0D" w14:textId="77777777" w:rsidR="00531B64" w:rsidRDefault="00531B64" w:rsidP="00FD5ADD">
      <w:pPr>
        <w:spacing w:after="0" w:line="240" w:lineRule="auto"/>
      </w:pPr>
      <w:r>
        <w:separator/>
      </w:r>
    </w:p>
  </w:endnote>
  <w:endnote w:type="continuationSeparator" w:id="0">
    <w:p w14:paraId="5B4ED528" w14:textId="77777777" w:rsidR="00531B64" w:rsidRDefault="00531B64" w:rsidP="00FD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New">
    <w:altName w:val="Times New Roman"/>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5C39" w14:textId="77777777" w:rsidR="00531B64" w:rsidRDefault="00531B64" w:rsidP="00FD5ADD">
      <w:pPr>
        <w:spacing w:after="0" w:line="240" w:lineRule="auto"/>
      </w:pPr>
      <w:r>
        <w:separator/>
      </w:r>
    </w:p>
  </w:footnote>
  <w:footnote w:type="continuationSeparator" w:id="0">
    <w:p w14:paraId="5E7ED0D2" w14:textId="77777777" w:rsidR="00531B64" w:rsidRDefault="00531B64" w:rsidP="00FD5ADD">
      <w:pPr>
        <w:spacing w:after="0" w:line="240" w:lineRule="auto"/>
      </w:pPr>
      <w:r>
        <w:continuationSeparator/>
      </w:r>
    </w:p>
  </w:footnote>
  <w:footnote w:id="1">
    <w:p w14:paraId="3B3CCA2A" w14:textId="77777777" w:rsidR="00F35B58" w:rsidRPr="00E136DB" w:rsidRDefault="00F35B58" w:rsidP="00FD5ADD">
      <w:pPr>
        <w:spacing w:after="0"/>
        <w:rPr>
          <w:rFonts w:ascii="Times New Roman" w:hAnsi="Times New Roman" w:cs="Times New Roman"/>
          <w:sz w:val="20"/>
        </w:rPr>
      </w:pPr>
      <w:r w:rsidRPr="00E136DB">
        <w:rPr>
          <w:rStyle w:val="FootnoteReference"/>
          <w:rFonts w:ascii="Times New Roman" w:hAnsi="Times New Roman" w:cs="Times New Roman"/>
          <w:sz w:val="20"/>
        </w:rPr>
        <w:footnoteRef/>
      </w:r>
      <w:r w:rsidRPr="00E136DB">
        <w:rPr>
          <w:rFonts w:ascii="Times New Roman" w:hAnsi="Times New Roman" w:cs="Times New Roman"/>
          <w:sz w:val="20"/>
        </w:rPr>
        <w:t xml:space="preserve"> Snowball sampling (or referral sampling) is a non-probability sampling technique where existing study subjects recruit future subjects from among their acquaintances. Thus, the sample group appears to grow like a rolling snowball. As the sample builds up, enough data are gathered to be useful for research. This sampling technique is often used in hidden populations which are difficult for researchers to access – in our case there is no database of experts, wholesalers and traditional (e.g., green vendors) retailers by type, based on which one can draw random sampling. However, in the case of processors and supermarket chain, the aim was to target the largest operators. Some interviews can provide information for more than one value chain. </w:t>
      </w:r>
    </w:p>
    <w:p w14:paraId="26248BF8" w14:textId="77777777" w:rsidR="00F35B58" w:rsidRPr="000D52B7" w:rsidRDefault="00F35B58" w:rsidP="00FD5ADD">
      <w:pPr>
        <w:pBdr>
          <w:top w:val="nil"/>
          <w:left w:val="nil"/>
          <w:bottom w:val="nil"/>
          <w:right w:val="nil"/>
          <w:between w:val="nil"/>
        </w:pBdr>
        <w:spacing w:after="0"/>
        <w:rPr>
          <w:sz w:val="20"/>
        </w:rPr>
      </w:pPr>
    </w:p>
  </w:footnote>
  <w:footnote w:id="2">
    <w:p w14:paraId="631A7359" w14:textId="77777777" w:rsidR="00F35B58" w:rsidRPr="00E136DB" w:rsidRDefault="00F35B58" w:rsidP="00FD5ADD">
      <w:pPr>
        <w:pStyle w:val="FootnoteText"/>
      </w:pPr>
      <w:r w:rsidRPr="00E136DB">
        <w:rPr>
          <w:rStyle w:val="FootnoteReference"/>
        </w:rPr>
        <w:footnoteRef/>
      </w:r>
      <w:r w:rsidRPr="00E136DB">
        <w:t xml:space="preserve"> Tomato is the main vegetable produced in greenhouses and the main vegetable which is exported.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C8D"/>
    <w:multiLevelType w:val="multilevel"/>
    <w:tmpl w:val="D2E8CB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F052B9"/>
    <w:multiLevelType w:val="hybridMultilevel"/>
    <w:tmpl w:val="4208C3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722BCE"/>
    <w:multiLevelType w:val="hybridMultilevel"/>
    <w:tmpl w:val="05F027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FE3128"/>
    <w:multiLevelType w:val="hybridMultilevel"/>
    <w:tmpl w:val="4208C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827DB8"/>
    <w:multiLevelType w:val="hybridMultilevel"/>
    <w:tmpl w:val="96D26780"/>
    <w:lvl w:ilvl="0" w:tplc="041C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14161"/>
    <w:multiLevelType w:val="hybridMultilevel"/>
    <w:tmpl w:val="D7F45884"/>
    <w:lvl w:ilvl="0" w:tplc="EAA42A32">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6" w15:restartNumberingAfterBreak="0">
    <w:nsid w:val="7D394478"/>
    <w:multiLevelType w:val="hybridMultilevel"/>
    <w:tmpl w:val="13C4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7084991">
    <w:abstractNumId w:val="3"/>
  </w:num>
  <w:num w:numId="2" w16cid:durableId="1931740536">
    <w:abstractNumId w:val="5"/>
  </w:num>
  <w:num w:numId="3" w16cid:durableId="1386031211">
    <w:abstractNumId w:val="4"/>
  </w:num>
  <w:num w:numId="4" w16cid:durableId="207589">
    <w:abstractNumId w:val="6"/>
  </w:num>
  <w:num w:numId="5" w16cid:durableId="975178934">
    <w:abstractNumId w:val="0"/>
  </w:num>
  <w:num w:numId="6" w16cid:durableId="1577014117">
    <w:abstractNumId w:val="2"/>
  </w:num>
  <w:num w:numId="7" w16cid:durableId="73061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90"/>
    <w:rsid w:val="000B190C"/>
    <w:rsid w:val="000B7DDF"/>
    <w:rsid w:val="001C38C8"/>
    <w:rsid w:val="002111DA"/>
    <w:rsid w:val="00227B62"/>
    <w:rsid w:val="00232946"/>
    <w:rsid w:val="002514EA"/>
    <w:rsid w:val="002F6BBD"/>
    <w:rsid w:val="003271E8"/>
    <w:rsid w:val="00330740"/>
    <w:rsid w:val="0037730D"/>
    <w:rsid w:val="00381DA4"/>
    <w:rsid w:val="00384C54"/>
    <w:rsid w:val="00386690"/>
    <w:rsid w:val="003B4C27"/>
    <w:rsid w:val="003D671E"/>
    <w:rsid w:val="003E6BF7"/>
    <w:rsid w:val="00430577"/>
    <w:rsid w:val="004B408B"/>
    <w:rsid w:val="004E430F"/>
    <w:rsid w:val="00502448"/>
    <w:rsid w:val="00516DF2"/>
    <w:rsid w:val="00531B64"/>
    <w:rsid w:val="005571AA"/>
    <w:rsid w:val="00561FC0"/>
    <w:rsid w:val="005A4779"/>
    <w:rsid w:val="005B5F8E"/>
    <w:rsid w:val="005D0391"/>
    <w:rsid w:val="005D7330"/>
    <w:rsid w:val="005F1B5A"/>
    <w:rsid w:val="006079CD"/>
    <w:rsid w:val="00615603"/>
    <w:rsid w:val="00626499"/>
    <w:rsid w:val="00645F94"/>
    <w:rsid w:val="006B221D"/>
    <w:rsid w:val="006C3356"/>
    <w:rsid w:val="00701AD4"/>
    <w:rsid w:val="00751DCC"/>
    <w:rsid w:val="0076715E"/>
    <w:rsid w:val="007E1A5B"/>
    <w:rsid w:val="00801D0B"/>
    <w:rsid w:val="008178B6"/>
    <w:rsid w:val="00870A6A"/>
    <w:rsid w:val="00895EF7"/>
    <w:rsid w:val="008977EA"/>
    <w:rsid w:val="008C093D"/>
    <w:rsid w:val="008C137C"/>
    <w:rsid w:val="00900B9A"/>
    <w:rsid w:val="00903354"/>
    <w:rsid w:val="0090540E"/>
    <w:rsid w:val="00916BE8"/>
    <w:rsid w:val="00934EFE"/>
    <w:rsid w:val="00993593"/>
    <w:rsid w:val="009946C3"/>
    <w:rsid w:val="009A1DFD"/>
    <w:rsid w:val="009B0BF3"/>
    <w:rsid w:val="009B4D8A"/>
    <w:rsid w:val="009C3EAD"/>
    <w:rsid w:val="009E757A"/>
    <w:rsid w:val="00A745BF"/>
    <w:rsid w:val="00AA1B27"/>
    <w:rsid w:val="00AF2B9C"/>
    <w:rsid w:val="00AF7D3C"/>
    <w:rsid w:val="00B10A77"/>
    <w:rsid w:val="00B50EE4"/>
    <w:rsid w:val="00B55307"/>
    <w:rsid w:val="00B7649C"/>
    <w:rsid w:val="00B76DA0"/>
    <w:rsid w:val="00B909E3"/>
    <w:rsid w:val="00BA3A02"/>
    <w:rsid w:val="00C273AC"/>
    <w:rsid w:val="00C603A7"/>
    <w:rsid w:val="00C7410A"/>
    <w:rsid w:val="00C92808"/>
    <w:rsid w:val="00C962C9"/>
    <w:rsid w:val="00D43A62"/>
    <w:rsid w:val="00D83300"/>
    <w:rsid w:val="00D91323"/>
    <w:rsid w:val="00E01F34"/>
    <w:rsid w:val="00E21C2F"/>
    <w:rsid w:val="00E504CE"/>
    <w:rsid w:val="00E54A50"/>
    <w:rsid w:val="00E67E09"/>
    <w:rsid w:val="00EB60B4"/>
    <w:rsid w:val="00EE620E"/>
    <w:rsid w:val="00EE7712"/>
    <w:rsid w:val="00F0288D"/>
    <w:rsid w:val="00F055B7"/>
    <w:rsid w:val="00F24CE7"/>
    <w:rsid w:val="00F35B58"/>
    <w:rsid w:val="00F740A7"/>
    <w:rsid w:val="00F95AEF"/>
    <w:rsid w:val="00FB52CC"/>
    <w:rsid w:val="00FC0D84"/>
    <w:rsid w:val="00FD3205"/>
    <w:rsid w:val="00FD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A724"/>
  <w15:chartTrackingRefBased/>
  <w15:docId w15:val="{3C316775-123C-4D71-AE44-33CBC49D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C7410A"/>
    <w:pPr>
      <w:spacing w:before="100" w:beforeAutospacing="1" w:after="100" w:afterAutospacing="1" w:line="240" w:lineRule="auto"/>
      <w:outlineLvl w:val="0"/>
    </w:pPr>
    <w:rPr>
      <w:rFonts w:ascii="Cambria" w:eastAsia="Cambria" w:hAnsi="Cambria" w:cs="Times New Roman"/>
      <w:b/>
      <w:bCs/>
      <w:kern w:val="36"/>
      <w:sz w:val="28"/>
      <w:szCs w:val="28"/>
    </w:rPr>
  </w:style>
  <w:style w:type="paragraph" w:styleId="Heading2">
    <w:name w:val="heading 2"/>
    <w:basedOn w:val="Normal"/>
    <w:next w:val="Normal"/>
    <w:link w:val="Heading2Char"/>
    <w:qFormat/>
    <w:rsid w:val="00C7410A"/>
    <w:pPr>
      <w:keepNext/>
      <w:keepLines/>
      <w:spacing w:before="200" w:after="0" w:line="240" w:lineRule="auto"/>
      <w:outlineLvl w:val="1"/>
    </w:pPr>
    <w:rPr>
      <w:rFonts w:ascii="Cambria" w:eastAsia="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69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C0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7410A"/>
    <w:rPr>
      <w:rFonts w:ascii="Cambria" w:eastAsia="Cambria" w:hAnsi="Cambria" w:cs="Times New Roman"/>
      <w:b/>
      <w:bCs/>
      <w:kern w:val="36"/>
      <w:sz w:val="28"/>
      <w:szCs w:val="28"/>
    </w:rPr>
  </w:style>
  <w:style w:type="character" w:customStyle="1" w:styleId="Heading2Char">
    <w:name w:val="Heading 2 Char"/>
    <w:basedOn w:val="DefaultParagraphFont"/>
    <w:link w:val="Heading2"/>
    <w:rsid w:val="00C7410A"/>
    <w:rPr>
      <w:rFonts w:ascii="Cambria" w:eastAsia="Cambria" w:hAnsi="Cambria" w:cs="Times New Roman"/>
      <w:b/>
      <w:bCs/>
      <w:color w:val="4F81BD"/>
      <w:sz w:val="26"/>
      <w:szCs w:val="26"/>
    </w:rPr>
  </w:style>
  <w:style w:type="paragraph" w:styleId="Title">
    <w:name w:val="Title"/>
    <w:basedOn w:val="Normal"/>
    <w:link w:val="TitleChar"/>
    <w:qFormat/>
    <w:rsid w:val="00C7410A"/>
    <w:pPr>
      <w:spacing w:before="240" w:after="60" w:line="240" w:lineRule="auto"/>
      <w:jc w:val="center"/>
      <w:outlineLvl w:val="0"/>
    </w:pPr>
    <w:rPr>
      <w:rFonts w:ascii="Arial" w:eastAsia="Times New Roman" w:hAnsi="Arial" w:cs="Cambria"/>
      <w:b/>
      <w:bCs/>
      <w:kern w:val="28"/>
      <w:sz w:val="32"/>
      <w:szCs w:val="32"/>
      <w:lang w:val="en-GB"/>
    </w:rPr>
  </w:style>
  <w:style w:type="character" w:customStyle="1" w:styleId="TitleChar">
    <w:name w:val="Title Char"/>
    <w:basedOn w:val="DefaultParagraphFont"/>
    <w:link w:val="Title"/>
    <w:rsid w:val="00C7410A"/>
    <w:rPr>
      <w:rFonts w:ascii="Arial" w:eastAsia="Times New Roman" w:hAnsi="Arial" w:cs="Cambria"/>
      <w:b/>
      <w:bCs/>
      <w:kern w:val="28"/>
      <w:sz w:val="32"/>
      <w:szCs w:val="32"/>
      <w:lang w:val="en-GB"/>
    </w:rPr>
  </w:style>
  <w:style w:type="character" w:styleId="Hyperlink">
    <w:name w:val="Hyperlink"/>
    <w:rsid w:val="00C7410A"/>
    <w:rPr>
      <w:rFonts w:cs="Times New Roman"/>
      <w:color w:val="0000FF"/>
      <w:u w:val="single"/>
    </w:rPr>
  </w:style>
  <w:style w:type="paragraph" w:styleId="ListParagraph">
    <w:name w:val="List Paragraph"/>
    <w:basedOn w:val="Normal"/>
    <w:uiPriority w:val="34"/>
    <w:qFormat/>
    <w:rsid w:val="00C7410A"/>
    <w:pPr>
      <w:spacing w:after="200" w:line="240" w:lineRule="auto"/>
      <w:ind w:left="720"/>
    </w:pPr>
    <w:rPr>
      <w:rFonts w:ascii="Cambria" w:eastAsia="Times New Roman" w:hAnsi="Cambria" w:cs="Cambria"/>
      <w:sz w:val="24"/>
      <w:szCs w:val="24"/>
      <w:lang w:val="en-GB"/>
    </w:rPr>
  </w:style>
  <w:style w:type="paragraph" w:styleId="FootnoteText">
    <w:name w:val="footnote text"/>
    <w:basedOn w:val="Normal"/>
    <w:link w:val="FootnoteTextChar"/>
    <w:uiPriority w:val="99"/>
    <w:semiHidden/>
    <w:unhideWhenUsed/>
    <w:rsid w:val="00FD5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ADD"/>
    <w:rPr>
      <w:sz w:val="20"/>
      <w:szCs w:val="20"/>
    </w:rPr>
  </w:style>
  <w:style w:type="character" w:styleId="FootnoteReference">
    <w:name w:val="footnote reference"/>
    <w:aliases w:val="BVI fnr,16 Point,Superscript 6 Point,ftref,Fußnotenzeichen DISS,Footnote symbol,Char1 Char Char Char Char, Char1 Char Char Char Char,Título 4 Car Zchn,Heading 4 Char1 Car Zchn,no vale 2 Zchn,no vale 2 Car Zchn,ASI Footer,IAMO Footnote"/>
    <w:basedOn w:val="DefaultParagraphFont"/>
    <w:link w:val="FootnotesymbolCharCharCharChar"/>
    <w:uiPriority w:val="99"/>
    <w:qFormat/>
    <w:rsid w:val="00FD5ADD"/>
    <w:rPr>
      <w:vertAlign w:val="superscript"/>
    </w:rPr>
  </w:style>
  <w:style w:type="paragraph" w:customStyle="1" w:styleId="FootnotesymbolCharCharCharChar">
    <w:name w:val="Footnote symbol Char Char Char Char"/>
    <w:aliases w:val="Footnote reference number Char Char Char Char,Times 10 Point Char Char Char Char,Exposant 3 Point Char Char Char Char,Ref Char Char Char Char,de nota al pie Char Char Char Char,Footer Char2"/>
    <w:basedOn w:val="Normal"/>
    <w:link w:val="FootnoteReference"/>
    <w:uiPriority w:val="99"/>
    <w:rsid w:val="00FD5ADD"/>
    <w:pPr>
      <w:spacing w:before="120" w:line="240" w:lineRule="exact"/>
      <w:jc w:val="both"/>
    </w:pPr>
    <w:rPr>
      <w:vertAlign w:val="superscript"/>
    </w:rPr>
  </w:style>
  <w:style w:type="table" w:customStyle="1" w:styleId="APAReport">
    <w:name w:val="APA Report"/>
    <w:basedOn w:val="TableNormal"/>
    <w:uiPriority w:val="99"/>
    <w:rsid w:val="00FD5ADD"/>
    <w:pPr>
      <w:spacing w:after="0" w:line="240" w:lineRule="auto"/>
    </w:pPr>
    <w:rPr>
      <w:rFonts w:ascii="Times New Roman" w:eastAsia="SimSun" w:hAnsi="Times New Roman" w:cs="Times New Roman"/>
      <w:sz w:val="24"/>
      <w:szCs w:val="24"/>
      <w:lang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table" w:customStyle="1" w:styleId="15">
    <w:name w:val="15"/>
    <w:basedOn w:val="TableNormal"/>
    <w:rsid w:val="00FD5ADD"/>
    <w:pPr>
      <w:spacing w:after="0" w:line="240" w:lineRule="auto"/>
    </w:pPr>
    <w:rPr>
      <w:rFonts w:ascii="Times New Roman" w:eastAsia="Times New Roman" w:hAnsi="Times New Roman" w:cs="Times New Roman"/>
      <w:spacing w:val="-2"/>
      <w:sz w:val="20"/>
      <w:szCs w:val="24"/>
    </w:rPr>
    <w:tblPr>
      <w:tblStyleRowBandSize w:val="1"/>
      <w:tblStyleColBandSize w:val="1"/>
    </w:tblPr>
    <w:tblStylePr w:type="firstRow">
      <w:rPr>
        <w:rFonts w:ascii="Times New Roman" w:eastAsia="Times New Roman" w:hAnsi="Times New Roman" w:cs="Times New Roman"/>
      </w:rPr>
      <w:tblPr/>
      <w:tcPr>
        <w:tcBorders>
          <w:top w:val="single" w:sz="12" w:space="0" w:color="000000"/>
          <w:left w:val="nil"/>
          <w:bottom w:val="single" w:sz="12" w:space="0" w:color="000000"/>
          <w:right w:val="nil"/>
          <w:insideH w:val="nil"/>
          <w:insideV w:val="nil"/>
        </w:tcBorders>
      </w:tcPr>
    </w:tblStylePr>
  </w:style>
  <w:style w:type="table" w:customStyle="1" w:styleId="ListTable21">
    <w:name w:val="List Table 21"/>
    <w:basedOn w:val="TableNormal"/>
    <w:next w:val="ListTable2"/>
    <w:uiPriority w:val="47"/>
    <w:rsid w:val="00EB60B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next w:val="PlainTable2"/>
    <w:uiPriority w:val="42"/>
    <w:rsid w:val="00EB60B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2">
    <w:name w:val="List Table 2"/>
    <w:basedOn w:val="TableNormal"/>
    <w:uiPriority w:val="47"/>
    <w:rsid w:val="00EB60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EB60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D7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30"/>
    <w:rPr>
      <w:rFonts w:ascii="Segoe UI" w:hAnsi="Segoe UI" w:cs="Segoe UI"/>
      <w:sz w:val="18"/>
      <w:szCs w:val="18"/>
    </w:rPr>
  </w:style>
  <w:style w:type="paragraph" w:styleId="Revision">
    <w:name w:val="Revision"/>
    <w:hidden/>
    <w:uiPriority w:val="99"/>
    <w:semiHidden/>
    <w:rsid w:val="00E504CE"/>
    <w:pPr>
      <w:spacing w:after="0" w:line="240" w:lineRule="auto"/>
    </w:pPr>
  </w:style>
  <w:style w:type="character" w:styleId="CommentReference">
    <w:name w:val="annotation reference"/>
    <w:basedOn w:val="DefaultParagraphFont"/>
    <w:uiPriority w:val="99"/>
    <w:semiHidden/>
    <w:unhideWhenUsed/>
    <w:rsid w:val="005B5F8E"/>
    <w:rPr>
      <w:sz w:val="16"/>
      <w:szCs w:val="16"/>
    </w:rPr>
  </w:style>
  <w:style w:type="paragraph" w:styleId="CommentText">
    <w:name w:val="annotation text"/>
    <w:basedOn w:val="Normal"/>
    <w:link w:val="CommentTextChar"/>
    <w:uiPriority w:val="99"/>
    <w:unhideWhenUsed/>
    <w:rsid w:val="005B5F8E"/>
    <w:pPr>
      <w:spacing w:line="240" w:lineRule="auto"/>
    </w:pPr>
    <w:rPr>
      <w:sz w:val="20"/>
      <w:szCs w:val="20"/>
    </w:rPr>
  </w:style>
  <w:style w:type="character" w:customStyle="1" w:styleId="CommentTextChar">
    <w:name w:val="Comment Text Char"/>
    <w:basedOn w:val="DefaultParagraphFont"/>
    <w:link w:val="CommentText"/>
    <w:uiPriority w:val="99"/>
    <w:rsid w:val="005B5F8E"/>
    <w:rPr>
      <w:sz w:val="20"/>
      <w:szCs w:val="20"/>
    </w:rPr>
  </w:style>
  <w:style w:type="paragraph" w:styleId="CommentSubject">
    <w:name w:val="annotation subject"/>
    <w:basedOn w:val="CommentText"/>
    <w:next w:val="CommentText"/>
    <w:link w:val="CommentSubjectChar"/>
    <w:uiPriority w:val="99"/>
    <w:semiHidden/>
    <w:unhideWhenUsed/>
    <w:rsid w:val="005B5F8E"/>
    <w:rPr>
      <w:b/>
      <w:bCs/>
    </w:rPr>
  </w:style>
  <w:style w:type="character" w:customStyle="1" w:styleId="CommentSubjectChar">
    <w:name w:val="Comment Subject Char"/>
    <w:basedOn w:val="CommentTextChar"/>
    <w:link w:val="CommentSubject"/>
    <w:uiPriority w:val="99"/>
    <w:semiHidden/>
    <w:rsid w:val="005B5F8E"/>
    <w:rPr>
      <w:b/>
      <w:bCs/>
      <w:sz w:val="20"/>
      <w:szCs w:val="20"/>
    </w:rPr>
  </w:style>
  <w:style w:type="character" w:styleId="UnresolvedMention">
    <w:name w:val="Unresolved Mention"/>
    <w:basedOn w:val="DefaultParagraphFont"/>
    <w:uiPriority w:val="99"/>
    <w:semiHidden/>
    <w:unhideWhenUsed/>
    <w:rsid w:val="00F0288D"/>
    <w:rPr>
      <w:color w:val="605E5C"/>
      <w:shd w:val="clear" w:color="auto" w:fill="E1DFDD"/>
    </w:rPr>
  </w:style>
  <w:style w:type="table" w:customStyle="1" w:styleId="APAReport1">
    <w:name w:val="APA Report1"/>
    <w:basedOn w:val="TableNormal"/>
    <w:uiPriority w:val="99"/>
    <w:rsid w:val="00FD3205"/>
    <w:pPr>
      <w:spacing w:after="0" w:line="240" w:lineRule="auto"/>
    </w:pPr>
    <w:rPr>
      <w:rFonts w:eastAsia="SimSun"/>
      <w:sz w:val="24"/>
      <w:szCs w:val="24"/>
      <w:lang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table" w:customStyle="1" w:styleId="APAReport2">
    <w:name w:val="APA Report2"/>
    <w:basedOn w:val="TableNormal"/>
    <w:uiPriority w:val="99"/>
    <w:rsid w:val="00993593"/>
    <w:pPr>
      <w:spacing w:after="0" w:line="240" w:lineRule="auto"/>
    </w:pPr>
    <w:rPr>
      <w:rFonts w:eastAsia="SimSun"/>
      <w:sz w:val="24"/>
      <w:szCs w:val="24"/>
      <w:lang w:eastAsia="ja-JP"/>
    </w:rPr>
    <w:tblPr>
      <w:tblBorders>
        <w:top w:val="single" w:sz="12" w:space="0" w:color="auto"/>
        <w:bottom w:val="single" w:sz="12" w:space="0" w:color="auto"/>
      </w:tblBorders>
    </w:tblPr>
    <w:tblStylePr w:type="firstRow">
      <w:rPr>
        <w:rFonts w:ascii="Times New Roman" w:hAnsi="Times New Roman"/>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styleId="Bibliography">
    <w:name w:val="Bibliography"/>
    <w:basedOn w:val="Normal"/>
    <w:next w:val="Normal"/>
    <w:uiPriority w:val="37"/>
    <w:unhideWhenUsed/>
    <w:rsid w:val="00E2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1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hllima@ubt.edu.al" TargetMode="External"/><Relationship Id="rId13" Type="http://schemas.openxmlformats.org/officeDocument/2006/relationships/hyperlink" Target="mailto:dimami@ubt.edu.al" TargetMode="External"/><Relationship Id="rId18" Type="http://schemas.openxmlformats.org/officeDocument/2006/relationships/hyperlink" Target="https://economictimes.indiatimes.com/news/economy/agriculture/prices-of-agricultural-commodities-drop-20-post-covid-19-outbreak/articleshow/74705537.cms" TargetMode="External"/><Relationship Id="rId26" Type="http://schemas.openxmlformats.org/officeDocument/2006/relationships/hyperlink" Target="mailto:eozuni@ubt.edu.al" TargetMode="External"/><Relationship Id="rId3" Type="http://schemas.openxmlformats.org/officeDocument/2006/relationships/styles" Target="styles.xml"/><Relationship Id="rId21" Type="http://schemas.openxmlformats.org/officeDocument/2006/relationships/hyperlink" Target="mailto:eozuni@ubt.edu.al" TargetMode="External"/><Relationship Id="rId34" Type="http://schemas.openxmlformats.org/officeDocument/2006/relationships/hyperlink" Target="https://doi.org/10.48550/arXiv.1705.08020" TargetMode="External"/><Relationship Id="rId7" Type="http://schemas.openxmlformats.org/officeDocument/2006/relationships/endnotes" Target="endnotes.xml"/><Relationship Id="rId12" Type="http://schemas.openxmlformats.org/officeDocument/2006/relationships/hyperlink" Target="https://doi.org/10.3390/" TargetMode="External"/><Relationship Id="rId17" Type="http://schemas.openxmlformats.org/officeDocument/2006/relationships/hyperlink" Target="https://voxeu.org/article/covid-concussion-and-supply-chain-contagion-waves" TargetMode="External"/><Relationship Id="rId25" Type="http://schemas.openxmlformats.org/officeDocument/2006/relationships/hyperlink" Target="mailto:ahoxha@ubt.edu.al" TargetMode="External"/><Relationship Id="rId33" Type="http://schemas.openxmlformats.org/officeDocument/2006/relationships/hyperlink" Target="mailto:dmitry.zvyagintsev@fao.org" TargetMode="External"/><Relationship Id="rId2" Type="http://schemas.openxmlformats.org/officeDocument/2006/relationships/numbering" Target="numbering.xml"/><Relationship Id="rId16" Type="http://schemas.openxmlformats.org/officeDocument/2006/relationships/hyperlink" Target="mailto:eskreli@ubt.edu.al" TargetMode="External"/><Relationship Id="rId20" Type="http://schemas.openxmlformats.org/officeDocument/2006/relationships/hyperlink" Target="https://china-cee.eu/wp-content/uploads/" TargetMode="External"/><Relationship Id="rId29" Type="http://schemas.openxmlformats.org/officeDocument/2006/relationships/hyperlink" Target="mailto:eskreli@ubt.ed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t.gov.al/media/3058/main_results__population_and_housing_census_2011.pdf" TargetMode="External"/><Relationship Id="rId24" Type="http://schemas.openxmlformats.org/officeDocument/2006/relationships/hyperlink" Target="mailto:ezhllima@ubt.edu.al" TargetMode="External"/><Relationship Id="rId32" Type="http://schemas.openxmlformats.org/officeDocument/2006/relationships/hyperlink" Target="mailto:S.M.Davidova@kent.ac.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hllima@ubt.edu.al" TargetMode="External"/><Relationship Id="rId23" Type="http://schemas.openxmlformats.org/officeDocument/2006/relationships/hyperlink" Target="mailto:jmulliri@ubt.edu.al" TargetMode="External"/><Relationship Id="rId28" Type="http://schemas.openxmlformats.org/officeDocument/2006/relationships/hyperlink" Target="mailto:dimami@ubt.edu.al" TargetMode="External"/><Relationship Id="rId36" Type="http://schemas.openxmlformats.org/officeDocument/2006/relationships/fontTable" Target="fontTable.xml"/><Relationship Id="rId10" Type="http://schemas.openxmlformats.org/officeDocument/2006/relationships/hyperlink" Target="mailto:dimami@ubt.edu.al" TargetMode="External"/><Relationship Id="rId19" Type="http://schemas.openxmlformats.org/officeDocument/2006/relationships/hyperlink" Target="http://www.fao.org/2019-ncov/q-and-a/en/" TargetMode="External"/><Relationship Id="rId31" Type="http://schemas.openxmlformats.org/officeDocument/2006/relationships/hyperlink" Target="mailto:dimami@ubt.edu.al" TargetMode="External"/><Relationship Id="rId4" Type="http://schemas.openxmlformats.org/officeDocument/2006/relationships/settings" Target="settings.xml"/><Relationship Id="rId9" Type="http://schemas.openxmlformats.org/officeDocument/2006/relationships/hyperlink" Target="mailto:gmehmeti@ubt.edu.al" TargetMode="External"/><Relationship Id="rId14" Type="http://schemas.openxmlformats.org/officeDocument/2006/relationships/hyperlink" Target="mailto:dimami@ubt.edu.al" TargetMode="External"/><Relationship Id="rId22" Type="http://schemas.openxmlformats.org/officeDocument/2006/relationships/hyperlink" Target="mailto:ahoxha@ubt.edu.al" TargetMode="External"/><Relationship Id="rId27" Type="http://schemas.openxmlformats.org/officeDocument/2006/relationships/hyperlink" Target="mailto:dimami@ubt.edu.al" TargetMode="External"/><Relationship Id="rId30" Type="http://schemas.openxmlformats.org/officeDocument/2006/relationships/hyperlink" Target="mailto:ezhllima@ubt.edu.al" TargetMode="Externa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Fra05</b:Tag>
    <b:SourceType>Book</b:SourceType>
    <b:Guid>{E4BC1CCE-B83A-429C-AB40-D780DF2986B4}</b:Guid>
    <b:Author>
      <b:Author>
        <b:Corporate>Fraser, W., Killen, R.</b:Corporate>
      </b:Author>
    </b:Author>
    <b:Title>The perceptions of students and lecturers of some factors influencing academic performance at two South African universities.</b:Title>
    <b:Year>2005</b:Year>
    <b:Publisher>Perspectives in Education, 23(1), 25-40.</b:Publisher>
    <b:RefOrder>1</b:RefOrder>
  </b:Source>
  <b:Source>
    <b:Tag>Kha19</b:Tag>
    <b:SourceType>JournalArticle</b:SourceType>
    <b:Guid>{B78B7F66-80DD-4F11-9D80-9639856847E2}</b:Guid>
    <b:Title>Four Ways Technology Has Negatively Changed Education</b:Title>
    <b:Year>2019</b:Year>
    <b:Author>
      <b:Author>
        <b:NameList>
          <b:Person>
            <b:Last>Alhumaid</b:Last>
            <b:First>Khadija</b:First>
          </b:Person>
        </b:NameList>
      </b:Author>
    </b:Author>
    <b:JournalName>Journal of Educational and Social Research</b:JournalName>
    <b:Pages>Vol 9 No 4</b:Pages>
    <b:RefOrder>2</b:RefOrder>
  </b:Source>
  <b:Source>
    <b:Tag>Jam17</b:Tag>
    <b:SourceType>JournalArticle</b:SourceType>
    <b:Guid>{223FC198-4A8E-43EA-996B-D53DC035819E}</b:Guid>
    <b:Author>
      <b:Author>
        <b:NameList>
          <b:Person>
            <b:Last>Francis</b:Last>
            <b:First>James</b:First>
          </b:Person>
        </b:NameList>
      </b:Author>
    </b:Author>
    <b:Title>The Effects Of Technology On Student Motivation And Engagement In Classroom-Based Learning</b:Title>
    <b:Year>2017</b:Year>
    <b:Pages>All Theses And Dissertations. 121.</b:Pages>
    <b:RefOrder>3</b:RefOrder>
  </b:Source>
  <b:Source>
    <b:Tag>Yil09</b:Tag>
    <b:SourceType>Book</b:SourceType>
    <b:Guid>{AC6E0BF0-1972-4236-81F3-53BBC49D0146}</b:Guid>
    <b:Author>
      <b:Author>
        <b:NameList>
          <b:Person>
            <b:Last>Yilmaz</b:Last>
            <b:First>G</b:First>
          </b:Person>
        </b:NameList>
      </b:Author>
    </b:Author>
    <b:Title> "Exogenous and endogenous factors influencing students' performance in undergraduate accounting modules."</b:Title>
    <b:Year>2009</b:Year>
    <b:Publisher>Accounting Education 18.1 (2009): 51-73.</b:Publisher>
    <b:RefOrder>4</b:RefOrder>
  </b:Source>
  <b:Source>
    <b:Tag>Isl14</b:Tag>
    <b:SourceType>Book</b:SourceType>
    <b:Guid>{0FA3A36B-2BFF-4F60-BE16-1A39AE6F115F}</b:Guid>
    <b:Author>
      <b:Author>
        <b:NameList>
          <b:Person>
            <b:Last>Islam</b:Last>
            <b:First>M.</b:First>
            <b:Middle>M.</b:Middle>
          </b:Person>
        </b:NameList>
      </b:Author>
    </b:Author>
    <b:Title> Factors influencing the academic performance of undergraduate students in Sultan Qaboos University in Oman.</b:Title>
    <b:Year>2014</b:Year>
    <b:Publisher>Journal of Emerging Trends in Educational Research and Policy Studies, 5(4), 396-404</b:Publisher>
    <b:RefOrder>5</b:RefOrder>
  </b:Source>
  <b:Source>
    <b:Tag>San17</b:Tag>
    <b:SourceType>JournalArticle</b:SourceType>
    <b:Guid>{C2E760B0-CCA3-44A1-B7BA-25635DE98683}</b:Guid>
    <b:Author>
      <b:Author>
        <b:Corporate>Sanchez‐Gelabert, A., Figueroa, M., &amp; Elias, M.</b:Corporate>
      </b:Author>
    </b:Author>
    <b:Title>Working whilst studying in higher education: The impact of the economic crisis on academic and labour market success.</b:Title>
    <b:JournalName>European Journal of Education</b:JournalName>
    <b:Year>2017</b:Year>
    <b:Pages>52(2), 232-245</b:Pages>
    <b:RefOrder>7</b:RefOrder>
  </b:Source>
  <b:Source>
    <b:Tag>Kas18</b:Tag>
    <b:SourceType>JournalArticle</b:SourceType>
    <b:Guid>{F8341E73-44D9-4126-A1D9-5F4234B5A33F}</b:Guid>
    <b:Author>
      <b:Author>
        <b:Corporate>Kassarnig, V., Mones, E., Bjerre-Nielsen, A. et al.</b:Corporate>
      </b:Author>
    </b:Author>
    <b:Title>Academic performance and behavioral patterns</b:Title>
    <b:JournalName>EPJ Data Sci. 7, 10</b:JournalName>
    <b:Year>2018</b:Year>
    <b:RefOrder>8</b:RefOrder>
  </b:Source>
  <b:Source>
    <b:Tag>Gre19</b:Tag>
    <b:SourceType>JournalArticle</b:SourceType>
    <b:Guid>{27BAB2BC-5839-4618-B836-3DDC511A9504}</b:Guid>
    <b:Author>
      <b:Author>
        <b:NameList>
          <b:Person>
            <b:Last>Liem</b:Last>
            <b:First>Gregory</b:First>
            <b:Middle>Arief D.</b:Middle>
          </b:Person>
        </b:NameList>
      </b:Author>
    </b:Author>
    <b:Title>Academic performance and assessment</b:Title>
    <b:JournalName>Educational Psychology</b:JournalName>
    <b:Year>2019</b:Year>
    <b:Pages>39:6, 705-708, DOI: 10.1080/01443410.2019.1625522</b:Pages>
    <b:RefOrder>9</b:RefOrder>
  </b:Source>
  <b:Source>
    <b:Tag>San171</b:Tag>
    <b:SourceType>JournalArticle</b:SourceType>
    <b:Guid>{17727681-6A47-468D-8AD8-9997D5093C67}</b:Guid>
    <b:Author>
      <b:Author>
        <b:Corporate>Sanchez‐Gelabert, A., Figueroa, M., &amp; Elias, M</b:Corporate>
      </b:Author>
    </b:Author>
    <b:Title>Working whilst studying in higher education: The impact of the economic crisis on academic and labour market success</b:Title>
    <b:JournalName> European Journal of Education</b:JournalName>
    <b:Year>2017</b:Year>
    <b:Pages>52(2), 232-245.</b:Pages>
    <b:RefOrder>10</b:RefOrder>
  </b:Source>
  <b:Source>
    <b:Tag>Non06</b:Tag>
    <b:SourceType>JournalArticle</b:SourceType>
    <b:Guid>{344158DA-D060-4C52-AD7F-E4A9FD3A779E}</b:Guid>
    <b:Author>
      <b:Author>
        <b:Corporate>Nonis, S. A., &amp; Hudson, G. I. </b:Corporate>
      </b:Author>
    </b:Author>
    <b:Title>Academic performance of college students: Influence of time spent studying and working. </b:Title>
    <b:JournalName>Journal of education for business</b:JournalName>
    <b:Year>2006</b:Year>
    <b:Pages>81(3), 151-159.</b:Pages>
    <b:RefOrder>11</b:RefOrder>
  </b:Source>
  <b:Source>
    <b:Tag>The19</b:Tag>
    <b:SourceType>JournalArticle</b:SourceType>
    <b:Guid>{FE7E2A31-0C0C-4169-A814-F9CD280051A3}</b:Guid>
    <b:Title>The role of perceived autonomy support in predicting university students’academic success mediated by academic self-efficacy and school engagement.</b:Title>
    <b:JournalName>Educational Psychology</b:JournalName>
    <b:Year>2019</b:Year>
    <b:Pages>39(6), 729–748.</b:Pages>
    <b:Author>
      <b:Author>
        <b:Corporate>Gutierrez, M., &amp; Tomas, J. M. </b:Corporate>
      </b:Author>
    </b:Author>
    <b:RefOrder>12</b:RefOrder>
  </b:Source>
  <b:Source>
    <b:Tag>Mis13</b:Tag>
    <b:SourceType>JournalArticle</b:SourceType>
    <b:Guid>{9750E538-5ED7-47F6-B766-E28DDD870935}</b:Guid>
    <b:Author>
      <b:Author>
        <b:NameList>
          <b:Person>
            <b:Last>Mischel</b:Last>
            <b:First>W</b:First>
          </b:Person>
        </b:NameList>
      </b:Author>
    </b:Author>
    <b:Title>Personality and assessment</b:Title>
    <b:JournalName>Lawrence Erlbaum Associates, Mahwah</b:JournalName>
    <b:Year>2013</b:Year>
    <b:RefOrder>13</b:RefOrder>
  </b:Source>
  <b:Source>
    <b:Tag>Cha03</b:Tag>
    <b:SourceType>JournalArticle</b:SourceType>
    <b:Guid>{543671BD-D835-4646-A0AC-EC7C2B4EBEE8}</b:Guid>
    <b:Author>
      <b:Author>
        <b:Corporate>Chamorro-Premuzic, T., &amp; Furnham, A. </b:Corporate>
      </b:Author>
    </b:Author>
    <b:Title>Personality predicts academic performance: Evidence from two longitudinal university samples. </b:Title>
    <b:Year>2003</b:Year>
    <b:Pages>Journal of research in personality, 37(4), 319-338.</b:Pages>
    <b:RefOrder>14</b:RefOrder>
  </b:Source>
  <b:Source>
    <b:Tag>INS21</b:Tag>
    <b:SourceType>JournalArticle</b:SourceType>
    <b:Guid>{CB975E1A-70F9-4C50-B9D5-79F3F193422F}</b:Guid>
    <b:Author>
      <b:Author>
        <b:NameList>
          <b:Person>
            <b:Last>INSTAT</b:Last>
          </b:Person>
        </b:NameList>
      </b:Author>
    </b:Author>
    <b:Title>Anketa Tremujore e Forcave të Punës</b:Title>
    <b:Year>2021</b:Year>
    <b:RefOrder>15</b:RefOrder>
  </b:Source>
  <b:Source>
    <b:Tag>Ara09</b:Tag>
    <b:SourceType>Book</b:SourceType>
    <b:Guid>{C394B620-2DCC-480B-864F-5BF7C5D9F165}</b:Guid>
    <b:Author>
      <b:Author>
        <b:Corporate>Araque, F., Roldán, C., Salguero, A. </b:Corporate>
      </b:Author>
    </b:Author>
    <b:Title>Factors influencing university drop out rates. </b:Title>
    <b:Year>2009</b:Year>
    <b:Publisher>Computers &amp; Education, 53(3), 563-574.</b:Publisher>
    <b:RefOrder>16</b:RefOrder>
  </b:Source>
  <b:Source>
    <b:Tag>Ala21</b:Tag>
    <b:SourceType>JournalArticle</b:SourceType>
    <b:Guid>{E8EB8BA0-5531-4845-BE81-20DB7E8E0F79}</b:Guid>
    <b:Author>
      <b:Author>
        <b:Corporate>Alabdulkarem, A., Alhojailan, M., &amp; Alabdulkarim, S.</b:Corporate>
      </b:Author>
    </b:Author>
    <b:Title>Comprehensive investigation of factors influencing university students’ academic performance in Saudi Arabia.</b:Title>
    <b:Year>2021</b:Year>
    <b:Pages>Education Sciences, 11(8), 375.</b:Pages>
    <b:RefOrder>17</b:RefOrder>
  </b:Source>
  <b:Source>
    <b:Tag>Hep18</b:Tag>
    <b:SourceType>JournalArticle</b:SourceType>
    <b:Guid>{5FAA9378-F3B7-4FD4-80CF-B4AC8AD30B4E}</b:Guid>
    <b:Author>
      <b:Author>
        <b:Corporate>Hepworth, D., Littlepage, B., &amp; Hancock, K.</b:Corporate>
      </b:Author>
    </b:Author>
    <b:Title>Factors influencing university student academic success.</b:Title>
    <b:Year>2018</b:Year>
    <b:Pages>Educational Research Quarterly, 42(1), 45-61.</b:Pages>
    <b:RefOrder>18</b:RefOrder>
  </b:Source>
  <b:Source>
    <b:Tag>FRR</b:Tag>
    <b:SourceType>JournalArticle</b:SourceType>
    <b:Guid>{B161A7E5-BACD-4713-AEA4-87CFEB351A46}</b:Guid>
    <b:Author>
      <b:Author>
        <b:NameList>
          <b:Person>
            <b:Last>CHESR</b:Last>
          </b:Person>
        </b:NameList>
      </b:Author>
    </b:Author>
    <b:Title>Committee on Higher Education and Scientific Research, The First Report on the Reform of Higher Education and Scientific Research for year 2014 (FRRHESR), available at: https://arsimi.gov.al/wp-content/uploads/2018/08/Raport_Ministria_Arsimit.pdf</b:Title>
    <b:Year>2015</b:Year>
    <b:RefOrder>19</b:RefOrder>
  </b:Source>
  <b:Source>
    <b:Tag>Maq15</b:Tag>
    <b:SourceType>JournalArticle</b:SourceType>
    <b:Guid>{7565218E-ED1A-4E1A-8FA6-A79901605AE1}</b:Guid>
    <b:Author>
      <b:Author>
        <b:Corporate>Maqableh MM., Rajab L., Quteshat W., Moh’d Taisir Masa R., Khatib T., Karajeh H. et al</b:Corporate>
      </b:Author>
    </b:Author>
    <b:Title>The impact of social media networks websites usage on students’ academic performance</b:Title>
    <b:Year>2015</b:Year>
    <b:Pages>Commun Netw 7(4):159</b:Pages>
    <b:RefOrder>20</b:RefOrder>
  </b:Source>
  <b:Source>
    <b:Tag>McH13</b:Tag>
    <b:SourceType>JournalArticle</b:SourceType>
    <b:Guid>{2B6A553F-22F6-47D6-955B-B215C7A11A0A}</b:Guid>
    <b:Author>
      <b:Author>
        <b:NameList>
          <b:Person>
            <b:Last>McHugh</b:Last>
            <b:First>Mary</b:First>
            <b:Middle>L.</b:Middle>
          </b:Person>
        </b:NameList>
      </b:Author>
    </b:Author>
    <b:Title>The chi-square test of independence.</b:Title>
    <b:JournalName>Biochemia medica</b:JournalName>
    <b:Year>2013</b:Year>
    <b:Pages>23(2), 143-149</b:Pages>
    <b:RefOrder>6</b:RefOrder>
  </b:Source>
  <b:Source>
    <b:Tag>Sch18</b:Tag>
    <b:SourceType>JournalArticle</b:SourceType>
    <b:Guid>{8D10105A-EDBC-40B7-B5D5-B1D4AA1549C8}</b:Guid>
    <b:Author>
      <b:Author>
        <b:Corporate>Schober, P., Boer, C., &amp; Schwarte, L. A.</b:Corporate>
      </b:Author>
    </b:Author>
    <b:Title>Correlation coefficients: appropriate use and interpretation</b:Title>
    <b:JournalName>Anesthesia &amp; Analgesia</b:JournalName>
    <b:Year>2018</b:Year>
    <b:Pages>126(5), 1763-1768</b:Pages>
    <b:RefOrder>21</b:RefOrder>
  </b:Source>
</b:Sources>
</file>

<file path=customXml/itemProps1.xml><?xml version="1.0" encoding="utf-8"?>
<ds:datastoreItem xmlns:ds="http://schemas.openxmlformats.org/officeDocument/2006/customXml" ds:itemID="{CEACDD51-6151-48C1-9BA8-EDF905D1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19629</Words>
  <Characters>111889</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Drini Imami</dc:creator>
  <cp:keywords/>
  <dc:description/>
  <cp:lastModifiedBy>Drini Imami</cp:lastModifiedBy>
  <cp:revision>2</cp:revision>
  <dcterms:created xsi:type="dcterms:W3CDTF">2022-09-19T09:58:00Z</dcterms:created>
  <dcterms:modified xsi:type="dcterms:W3CDTF">2022-09-19T09:58:00Z</dcterms:modified>
</cp:coreProperties>
</file>